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5C9B60C">
      <w:pPr>
        <w:spacing w:before="120" w:after="120" w:line="300" w:lineRule="auto"/>
        <w:jc w:val="center"/>
        <w:rPr>
          <w:rFonts w:hint="eastAsia" w:eastAsia="黑体"/>
          <w:color w:val="000000"/>
          <w:sz w:val="72"/>
          <w:szCs w:val="72"/>
          <w:highlight w:val="none"/>
        </w:rPr>
      </w:pPr>
    </w:p>
    <w:p w14:paraId="0548D115">
      <w:pPr>
        <w:spacing w:before="120" w:after="120" w:line="300" w:lineRule="auto"/>
        <w:jc w:val="center"/>
        <w:rPr>
          <w:rFonts w:hint="eastAsia"/>
          <w:b/>
          <w:color w:val="000000"/>
          <w:sz w:val="84"/>
          <w:szCs w:val="21"/>
          <w:highlight w:val="none"/>
        </w:rPr>
      </w:pPr>
    </w:p>
    <w:p w14:paraId="48DE14A2">
      <w:pPr>
        <w:spacing w:before="120" w:after="120" w:line="300" w:lineRule="auto"/>
        <w:jc w:val="center"/>
        <w:rPr>
          <w:rFonts w:hint="eastAsia"/>
          <w:b/>
          <w:color w:val="000000"/>
          <w:sz w:val="84"/>
          <w:szCs w:val="21"/>
          <w:highlight w:val="none"/>
        </w:rPr>
      </w:pPr>
      <w:r>
        <w:rPr>
          <w:rFonts w:hint="eastAsia"/>
          <w:b/>
          <w:color w:val="000000"/>
          <w:sz w:val="84"/>
          <w:szCs w:val="21"/>
          <w:highlight w:val="none"/>
        </w:rPr>
        <w:t>询 价 文 件</w:t>
      </w:r>
    </w:p>
    <w:p w14:paraId="27967017">
      <w:pPr>
        <w:spacing w:line="300" w:lineRule="auto"/>
        <w:rPr>
          <w:rFonts w:hint="eastAsia"/>
          <w:b/>
          <w:bCs/>
          <w:color w:val="000000"/>
          <w:sz w:val="28"/>
          <w:highlight w:val="none"/>
        </w:rPr>
      </w:pPr>
    </w:p>
    <w:p w14:paraId="2D7EA182">
      <w:pPr>
        <w:spacing w:line="300" w:lineRule="auto"/>
        <w:jc w:val="center"/>
        <w:rPr>
          <w:rFonts w:hint="eastAsia"/>
          <w:b/>
          <w:bCs/>
          <w:color w:val="000000"/>
          <w:sz w:val="28"/>
          <w:highlight w:val="none"/>
        </w:rPr>
      </w:pPr>
    </w:p>
    <w:p w14:paraId="622FF341">
      <w:pPr>
        <w:spacing w:line="300" w:lineRule="auto"/>
        <w:jc w:val="center"/>
        <w:rPr>
          <w:rFonts w:hint="eastAsia"/>
          <w:b/>
          <w:bCs/>
          <w:color w:val="000000"/>
          <w:sz w:val="28"/>
          <w:highlight w:val="none"/>
        </w:rPr>
      </w:pPr>
    </w:p>
    <w:p w14:paraId="5684DB19">
      <w:pPr>
        <w:spacing w:line="300" w:lineRule="auto"/>
        <w:jc w:val="center"/>
        <w:rPr>
          <w:rFonts w:hint="eastAsia"/>
          <w:b/>
          <w:bCs/>
          <w:color w:val="000000"/>
          <w:sz w:val="24"/>
          <w:szCs w:val="22"/>
          <w:highlight w:val="none"/>
        </w:rPr>
      </w:pPr>
    </w:p>
    <w:p w14:paraId="4195A19D">
      <w:pPr>
        <w:jc w:val="center"/>
        <w:rPr>
          <w:rFonts w:hint="eastAsia" w:ascii="宋体" w:hAnsi="Times New Roman" w:eastAsia="宋体" w:cs="Times New Roman"/>
          <w:b/>
          <w:color w:val="000000"/>
          <w:sz w:val="28"/>
          <w:szCs w:val="21"/>
          <w:highlight w:val="none"/>
        </w:rPr>
      </w:pPr>
      <w:r>
        <w:rPr>
          <w:rFonts w:hint="eastAsia" w:ascii="宋体" w:hAnsi="Times New Roman" w:eastAsia="宋体" w:cs="Times New Roman"/>
          <w:b/>
          <w:color w:val="000000"/>
          <w:sz w:val="28"/>
          <w:szCs w:val="21"/>
          <w:highlight w:val="none"/>
        </w:rPr>
        <w:t>项目名称：</w:t>
      </w:r>
      <w:r>
        <w:rPr>
          <w:rFonts w:hint="eastAsia" w:ascii="宋体" w:cs="Times New Roman"/>
          <w:b/>
          <w:color w:val="000000"/>
          <w:sz w:val="28"/>
          <w:szCs w:val="21"/>
          <w:highlight w:val="none"/>
          <w:lang w:val="en-US" w:eastAsia="zh-CN"/>
        </w:rPr>
        <w:t>阜宁县殡仪服务中心殡仪专用车辆采购项目（二次）</w:t>
      </w:r>
    </w:p>
    <w:p w14:paraId="63F6D16B">
      <w:pPr>
        <w:jc w:val="center"/>
        <w:rPr>
          <w:rFonts w:hint="eastAsia" w:eastAsia="黑体"/>
          <w:b/>
          <w:color w:val="000000"/>
          <w:sz w:val="28"/>
          <w:szCs w:val="22"/>
          <w:highlight w:val="none"/>
        </w:rPr>
      </w:pPr>
    </w:p>
    <w:p w14:paraId="5CA89072">
      <w:pPr>
        <w:jc w:val="center"/>
        <w:rPr>
          <w:rFonts w:hint="eastAsia" w:ascii="宋体" w:eastAsia="宋体"/>
          <w:b/>
          <w:color w:val="000000"/>
          <w:sz w:val="28"/>
          <w:szCs w:val="28"/>
          <w:highlight w:val="none"/>
          <w:lang w:eastAsia="zh-CN"/>
        </w:rPr>
      </w:pPr>
      <w:r>
        <w:rPr>
          <w:rFonts w:hint="eastAsia" w:ascii="宋体"/>
          <w:b/>
          <w:color w:val="000000"/>
          <w:sz w:val="32"/>
          <w:szCs w:val="32"/>
          <w:highlight w:val="none"/>
        </w:rPr>
        <w:t>项</w:t>
      </w:r>
      <w:r>
        <w:rPr>
          <w:rFonts w:hint="eastAsia" w:ascii="宋体" w:hAnsi="宋体" w:cs="宋体"/>
          <w:b/>
          <w:color w:val="000000"/>
          <w:sz w:val="32"/>
          <w:szCs w:val="32"/>
          <w:highlight w:val="none"/>
        </w:rPr>
        <w:t>目编号：</w:t>
      </w:r>
      <w:r>
        <w:rPr>
          <w:rFonts w:hint="eastAsia" w:ascii="宋体" w:hAnsi="宋体" w:cs="宋体"/>
          <w:b/>
          <w:color w:val="000000"/>
          <w:sz w:val="32"/>
          <w:szCs w:val="32"/>
          <w:highlight w:val="none"/>
          <w:lang w:eastAsia="zh-CN"/>
        </w:rPr>
        <w:t>JSZC-320923-SNST-X2025-0003</w:t>
      </w:r>
    </w:p>
    <w:p w14:paraId="533EAF4B">
      <w:pPr>
        <w:jc w:val="center"/>
        <w:rPr>
          <w:rFonts w:hint="eastAsia" w:ascii="宋体"/>
          <w:b/>
          <w:color w:val="000000"/>
          <w:sz w:val="32"/>
          <w:highlight w:val="none"/>
        </w:rPr>
      </w:pPr>
    </w:p>
    <w:p w14:paraId="68651DB5">
      <w:pPr>
        <w:jc w:val="center"/>
        <w:rPr>
          <w:rFonts w:hint="eastAsia" w:ascii="宋体"/>
          <w:b/>
          <w:color w:val="000000"/>
          <w:sz w:val="32"/>
          <w:highlight w:val="none"/>
        </w:rPr>
      </w:pPr>
    </w:p>
    <w:p w14:paraId="7879DDC4">
      <w:pPr>
        <w:jc w:val="center"/>
        <w:rPr>
          <w:rFonts w:hint="eastAsia" w:ascii="宋体"/>
          <w:b/>
          <w:color w:val="000000"/>
          <w:sz w:val="32"/>
          <w:highlight w:val="none"/>
        </w:rPr>
      </w:pPr>
    </w:p>
    <w:p w14:paraId="7E024C4E">
      <w:pPr>
        <w:pStyle w:val="221"/>
        <w:jc w:val="center"/>
        <w:rPr>
          <w:rFonts w:hint="eastAsia" w:ascii="宋体"/>
          <w:b/>
          <w:color w:val="000000"/>
          <w:sz w:val="32"/>
          <w:highlight w:val="none"/>
        </w:rPr>
      </w:pPr>
    </w:p>
    <w:p w14:paraId="36C566B5">
      <w:pPr>
        <w:pStyle w:val="221"/>
        <w:jc w:val="center"/>
        <w:rPr>
          <w:rFonts w:hint="eastAsia" w:ascii="宋体"/>
          <w:b/>
          <w:color w:val="000000"/>
          <w:sz w:val="32"/>
          <w:highlight w:val="none"/>
        </w:rPr>
      </w:pPr>
    </w:p>
    <w:p w14:paraId="33BBB006">
      <w:pPr>
        <w:pStyle w:val="221"/>
        <w:jc w:val="center"/>
        <w:rPr>
          <w:rFonts w:hint="eastAsia" w:ascii="宋体"/>
          <w:b/>
          <w:color w:val="000000"/>
          <w:sz w:val="32"/>
          <w:highlight w:val="none"/>
        </w:rPr>
      </w:pPr>
    </w:p>
    <w:p w14:paraId="0FA7D333">
      <w:pPr>
        <w:pStyle w:val="221"/>
        <w:jc w:val="center"/>
        <w:rPr>
          <w:rFonts w:hint="eastAsia" w:ascii="宋体"/>
          <w:b/>
          <w:color w:val="000000"/>
          <w:sz w:val="32"/>
          <w:highlight w:val="none"/>
        </w:rPr>
      </w:pPr>
    </w:p>
    <w:p w14:paraId="0CD41203">
      <w:pPr>
        <w:pStyle w:val="221"/>
        <w:jc w:val="center"/>
        <w:rPr>
          <w:rFonts w:hint="eastAsia" w:ascii="宋体"/>
          <w:b/>
          <w:color w:val="000000"/>
          <w:sz w:val="32"/>
          <w:highlight w:val="none"/>
        </w:rPr>
      </w:pPr>
    </w:p>
    <w:p w14:paraId="2EDDBA68">
      <w:pPr>
        <w:pStyle w:val="221"/>
        <w:jc w:val="center"/>
        <w:rPr>
          <w:rFonts w:hint="eastAsia" w:ascii="宋体"/>
          <w:b/>
          <w:color w:val="000000"/>
          <w:sz w:val="32"/>
          <w:highlight w:val="none"/>
        </w:rPr>
      </w:pPr>
    </w:p>
    <w:p w14:paraId="597EFF6C">
      <w:pPr>
        <w:jc w:val="center"/>
        <w:rPr>
          <w:rFonts w:hint="eastAsia" w:ascii="宋体"/>
          <w:b/>
          <w:color w:val="000000"/>
          <w:sz w:val="32"/>
          <w:highlight w:val="none"/>
        </w:rPr>
      </w:pPr>
    </w:p>
    <w:p w14:paraId="36B77292">
      <w:pPr>
        <w:spacing w:line="480" w:lineRule="auto"/>
        <w:jc w:val="center"/>
        <w:rPr>
          <w:rFonts w:ascii="宋体" w:eastAsia="黑体"/>
          <w:bCs/>
          <w:color w:val="000000"/>
          <w:sz w:val="36"/>
          <w:szCs w:val="36"/>
          <w:highlight w:val="none"/>
          <w:lang w:val="en-US" w:eastAsia="zh-CN"/>
        </w:rPr>
      </w:pPr>
      <w:r>
        <w:rPr>
          <w:rFonts w:hint="eastAsia" w:ascii="黑体" w:hAnsi="黑体" w:eastAsia="黑体" w:cs="黑体"/>
          <w:bCs/>
          <w:color w:val="000000"/>
          <w:spacing w:val="15"/>
          <w:sz w:val="36"/>
          <w:szCs w:val="36"/>
          <w:highlight w:val="none"/>
        </w:rPr>
        <w:t>采购单位</w:t>
      </w:r>
      <w:r>
        <w:rPr>
          <w:rFonts w:hint="eastAsia" w:ascii="黑体" w:hAnsi="黑体" w:eastAsia="黑体" w:cs="黑体"/>
          <w:bCs/>
          <w:color w:val="000000"/>
          <w:spacing w:val="15"/>
          <w:sz w:val="36"/>
          <w:szCs w:val="36"/>
          <w:highlight w:val="none"/>
          <w:lang w:eastAsia="zh-CN"/>
        </w:rPr>
        <w:t>：</w:t>
      </w:r>
      <w:r>
        <w:rPr>
          <w:rFonts w:hint="eastAsia" w:ascii="黑体" w:hAnsi="黑体" w:eastAsia="黑体" w:cs="黑体"/>
          <w:bCs/>
          <w:color w:val="000000"/>
          <w:spacing w:val="15"/>
          <w:sz w:val="36"/>
          <w:szCs w:val="36"/>
          <w:highlight w:val="none"/>
          <w:lang w:val="en-US" w:eastAsia="zh-CN"/>
        </w:rPr>
        <w:t>阜宁县民政局</w:t>
      </w:r>
    </w:p>
    <w:p w14:paraId="40EAD364">
      <w:pPr>
        <w:spacing w:before="120" w:after="120" w:line="480" w:lineRule="auto"/>
        <w:jc w:val="center"/>
        <w:rPr>
          <w:rFonts w:hint="eastAsia" w:eastAsia="黑体"/>
          <w:color w:val="000000"/>
          <w:sz w:val="36"/>
          <w:szCs w:val="36"/>
          <w:highlight w:val="none"/>
        </w:rPr>
      </w:pPr>
      <w:r>
        <w:rPr>
          <w:rFonts w:hint="eastAsia" w:ascii="Arial" w:hAnsi="Arial" w:cs="Arial"/>
          <w:b/>
          <w:color w:val="000000"/>
          <w:sz w:val="32"/>
          <w:szCs w:val="32"/>
          <w:highlight w:val="none"/>
          <w:lang w:val="en-US" w:eastAsia="zh-CN"/>
        </w:rPr>
        <w:t>2025年12月23日</w:t>
      </w:r>
    </w:p>
    <w:p w14:paraId="121A14D0">
      <w:pPr>
        <w:spacing w:before="120" w:after="120" w:line="460" w:lineRule="exact"/>
        <w:ind w:firstLine="3780"/>
        <w:rPr>
          <w:rFonts w:hint="eastAsia" w:eastAsia="黑体"/>
          <w:color w:val="000000"/>
          <w:sz w:val="36"/>
          <w:szCs w:val="36"/>
          <w:highlight w:val="none"/>
        </w:rPr>
      </w:pPr>
    </w:p>
    <w:p w14:paraId="625ACA44">
      <w:pPr>
        <w:spacing w:before="120" w:after="120" w:line="460" w:lineRule="exact"/>
        <w:jc w:val="center"/>
        <w:rPr>
          <w:rFonts w:hint="eastAsia" w:eastAsia="黑体"/>
          <w:color w:val="000000"/>
          <w:sz w:val="36"/>
          <w:szCs w:val="36"/>
          <w:highlight w:val="none"/>
        </w:rPr>
      </w:pPr>
    </w:p>
    <w:p w14:paraId="0D888237">
      <w:pPr>
        <w:pStyle w:val="212"/>
        <w:widowControl w:val="0"/>
        <w:spacing w:before="0" w:beforeAutospacing="0" w:after="0" w:afterAutospacing="0" w:line="480" w:lineRule="auto"/>
        <w:jc w:val="center"/>
        <w:rPr>
          <w:highlight w:val="none"/>
        </w:rPr>
      </w:pPr>
      <w:r>
        <w:rPr>
          <w:rFonts w:ascii="Times New Roman" w:hAnsi="Times New Roman" w:cs="Times New Roman"/>
          <w:color w:val="000000"/>
          <w:sz w:val="21"/>
          <w:szCs w:val="21"/>
          <w:highlight w:val="none"/>
        </w:rPr>
        <w:t> </w:t>
      </w:r>
      <w:bookmarkStart w:id="0" w:name="_Toc120614210"/>
      <w:bookmarkStart w:id="1" w:name="_Toc513029200"/>
      <w:bookmarkStart w:id="2" w:name="_Toc523127445"/>
      <w:bookmarkStart w:id="3" w:name="_Toc16938516"/>
      <w:bookmarkStart w:id="4" w:name="_Toc479757206"/>
      <w:bookmarkStart w:id="5" w:name="_Toc20823272"/>
      <w:r>
        <w:rPr>
          <w:rFonts w:ascii="黑体" w:eastAsia="黑体" w:cs="黑体"/>
          <w:b/>
          <w:color w:val="000000"/>
          <w:sz w:val="44"/>
          <w:szCs w:val="44"/>
          <w:highlight w:val="none"/>
        </w:rPr>
        <w:t>总  目  录</w:t>
      </w:r>
      <w:bookmarkEnd w:id="0"/>
      <w:bookmarkEnd w:id="1"/>
      <w:bookmarkEnd w:id="2"/>
      <w:bookmarkEnd w:id="3"/>
      <w:bookmarkEnd w:id="4"/>
      <w:bookmarkEnd w:id="5"/>
    </w:p>
    <w:p w14:paraId="576F1DDD">
      <w:pPr>
        <w:pStyle w:val="212"/>
        <w:widowControl w:val="0"/>
        <w:tabs>
          <w:tab w:val="left" w:pos="1441"/>
        </w:tabs>
        <w:spacing w:before="0" w:beforeAutospacing="0" w:after="0" w:afterAutospacing="0" w:line="480" w:lineRule="auto"/>
        <w:ind w:left="2160" w:hanging="1440"/>
        <w:jc w:val="both"/>
        <w:rPr>
          <w:rFonts w:hint="eastAsia" w:ascii="黑体" w:eastAsia="黑体" w:cs="黑体"/>
          <w:color w:val="000000"/>
          <w:sz w:val="36"/>
          <w:szCs w:val="36"/>
          <w:highlight w:val="none"/>
        </w:rPr>
      </w:pPr>
      <w:r>
        <w:rPr>
          <w:highlight w:val="none"/>
        </w:rPr>
        <w:t> </w:t>
      </w:r>
    </w:p>
    <w:p w14:paraId="29FB67AB">
      <w:pPr>
        <w:pStyle w:val="212"/>
        <w:widowControl w:val="0"/>
        <w:tabs>
          <w:tab w:val="left" w:pos="1441"/>
        </w:tabs>
        <w:spacing w:before="0" w:beforeAutospacing="0" w:after="0" w:afterAutospacing="0" w:line="480" w:lineRule="auto"/>
        <w:ind w:left="2160" w:hanging="1440"/>
        <w:jc w:val="both"/>
        <w:rPr>
          <w:rFonts w:hint="eastAsia" w:eastAsia="黑体"/>
          <w:highlight w:val="none"/>
          <w:lang w:val="en-US" w:eastAsia="zh-CN"/>
        </w:rPr>
      </w:pPr>
      <w:r>
        <w:rPr>
          <w:rFonts w:hint="eastAsia" w:ascii="黑体" w:eastAsia="黑体" w:cs="黑体"/>
          <w:color w:val="000000"/>
          <w:sz w:val="36"/>
          <w:szCs w:val="36"/>
          <w:highlight w:val="none"/>
        </w:rPr>
        <w:t>询价</w:t>
      </w:r>
      <w:r>
        <w:rPr>
          <w:rFonts w:hint="eastAsia" w:ascii="黑体" w:eastAsia="黑体" w:cs="黑体"/>
          <w:color w:val="000000"/>
          <w:sz w:val="36"/>
          <w:szCs w:val="36"/>
          <w:highlight w:val="none"/>
          <w:lang w:val="en-US" w:eastAsia="zh-CN"/>
        </w:rPr>
        <w:t>公告</w:t>
      </w:r>
      <w:r>
        <w:rPr>
          <w:rFonts w:hint="eastAsia" w:ascii="黑体" w:eastAsia="黑体" w:cs="黑体"/>
          <w:color w:val="000000"/>
          <w:sz w:val="36"/>
          <w:szCs w:val="36"/>
          <w:highlight w:val="none"/>
        </w:rPr>
        <w:t>……………………………………</w:t>
      </w:r>
    </w:p>
    <w:p w14:paraId="2555F8C6">
      <w:pPr>
        <w:pStyle w:val="212"/>
        <w:widowControl w:val="0"/>
        <w:tabs>
          <w:tab w:val="left" w:pos="1441"/>
        </w:tabs>
        <w:spacing w:before="0" w:beforeAutospacing="0" w:after="0" w:afterAutospacing="0" w:line="480" w:lineRule="auto"/>
        <w:ind w:left="2160" w:hanging="1440"/>
        <w:jc w:val="both"/>
        <w:rPr>
          <w:highlight w:val="none"/>
        </w:rPr>
      </w:pPr>
      <w:r>
        <w:rPr>
          <w:rFonts w:hint="eastAsia" w:ascii="黑体" w:eastAsia="黑体" w:cs="黑体"/>
          <w:color w:val="000000"/>
          <w:sz w:val="36"/>
          <w:szCs w:val="36"/>
          <w:highlight w:val="none"/>
        </w:rPr>
        <w:t xml:space="preserve">供应商须知…………………………………  </w:t>
      </w:r>
    </w:p>
    <w:p w14:paraId="0529B27E">
      <w:pPr>
        <w:pStyle w:val="212"/>
        <w:widowControl w:val="0"/>
        <w:tabs>
          <w:tab w:val="left" w:pos="1441"/>
        </w:tabs>
        <w:spacing w:before="0" w:beforeAutospacing="0" w:after="0" w:afterAutospacing="0" w:line="480" w:lineRule="auto"/>
        <w:ind w:left="2160" w:hanging="1440"/>
        <w:jc w:val="both"/>
        <w:rPr>
          <w:rFonts w:eastAsia="黑体"/>
          <w:highlight w:val="none"/>
          <w:lang w:val="en-US" w:eastAsia="zh-CN"/>
        </w:rPr>
      </w:pPr>
      <w:r>
        <w:rPr>
          <w:rFonts w:hint="eastAsia" w:ascii="黑体" w:eastAsia="黑体" w:cs="黑体"/>
          <w:color w:val="000000"/>
          <w:sz w:val="36"/>
          <w:szCs w:val="36"/>
          <w:highlight w:val="none"/>
        </w:rPr>
        <w:t>合同</w:t>
      </w:r>
      <w:r>
        <w:rPr>
          <w:rFonts w:hint="eastAsia" w:ascii="黑体" w:eastAsia="黑体" w:cs="黑体"/>
          <w:color w:val="000000"/>
          <w:sz w:val="36"/>
          <w:szCs w:val="36"/>
          <w:highlight w:val="none"/>
          <w:lang w:eastAsia="zh-CN"/>
        </w:rPr>
        <w:t>条款</w:t>
      </w:r>
      <w:r>
        <w:rPr>
          <w:rFonts w:hint="eastAsia" w:ascii="黑体" w:eastAsia="黑体" w:cs="黑体"/>
          <w:color w:val="000000"/>
          <w:sz w:val="36"/>
          <w:szCs w:val="36"/>
          <w:highlight w:val="none"/>
        </w:rPr>
        <w:t>……………………………………</w:t>
      </w:r>
    </w:p>
    <w:p w14:paraId="55B5AA41">
      <w:pPr>
        <w:pStyle w:val="212"/>
        <w:widowControl w:val="0"/>
        <w:tabs>
          <w:tab w:val="left" w:pos="1441"/>
        </w:tabs>
        <w:spacing w:before="0" w:beforeAutospacing="0" w:after="0" w:afterAutospacing="0" w:line="480" w:lineRule="auto"/>
        <w:ind w:left="2160" w:hanging="1440"/>
        <w:jc w:val="both"/>
        <w:rPr>
          <w:rFonts w:eastAsia="黑体"/>
          <w:highlight w:val="none"/>
          <w:lang w:val="en-US" w:eastAsia="zh-CN"/>
        </w:rPr>
      </w:pPr>
      <w:r>
        <w:rPr>
          <w:rFonts w:hint="eastAsia" w:ascii="黑体" w:eastAsia="黑体" w:cs="黑体"/>
          <w:color w:val="000000"/>
          <w:sz w:val="36"/>
          <w:szCs w:val="36"/>
          <w:highlight w:val="none"/>
        </w:rPr>
        <w:t>采购需求……………………………………</w:t>
      </w:r>
    </w:p>
    <w:p w14:paraId="0D36D915">
      <w:pPr>
        <w:pStyle w:val="212"/>
        <w:widowControl w:val="0"/>
        <w:tabs>
          <w:tab w:val="left" w:pos="1441"/>
        </w:tabs>
        <w:spacing w:before="0" w:beforeAutospacing="0" w:after="0" w:afterAutospacing="0" w:line="480" w:lineRule="auto"/>
        <w:ind w:left="2160" w:hanging="1440"/>
        <w:jc w:val="both"/>
        <w:rPr>
          <w:rFonts w:eastAsia="黑体"/>
          <w:highlight w:val="none"/>
          <w:lang w:val="en-US" w:eastAsia="zh-CN"/>
        </w:rPr>
      </w:pPr>
      <w:r>
        <w:rPr>
          <w:rFonts w:hint="eastAsia" w:ascii="黑体" w:eastAsia="黑体" w:cs="黑体"/>
          <w:color w:val="000000"/>
          <w:sz w:val="36"/>
          <w:szCs w:val="36"/>
          <w:highlight w:val="none"/>
        </w:rPr>
        <w:t>响应文件格式………………………………</w:t>
      </w:r>
    </w:p>
    <w:p w14:paraId="7A26CDE0">
      <w:pPr>
        <w:pStyle w:val="212"/>
        <w:widowControl w:val="0"/>
        <w:spacing w:before="0" w:beforeAutospacing="0" w:after="0" w:afterAutospacing="0"/>
        <w:jc w:val="both"/>
        <w:rPr>
          <w:highlight w:val="none"/>
        </w:rPr>
      </w:pPr>
      <w:r>
        <w:rPr>
          <w:highlight w:val="none"/>
        </w:rPr>
        <w:t> </w:t>
      </w:r>
    </w:p>
    <w:p w14:paraId="4C92B534">
      <w:pPr>
        <w:pStyle w:val="212"/>
        <w:keepNext/>
        <w:spacing w:beforeAutospacing="0" w:afterAutospacing="0"/>
        <w:jc w:val="center"/>
        <w:rPr>
          <w:rFonts w:hint="eastAsia" w:eastAsia="黑体"/>
          <w:color w:val="000000"/>
          <w:sz w:val="36"/>
          <w:szCs w:val="36"/>
          <w:highlight w:val="none"/>
        </w:rPr>
        <w:sectPr>
          <w:pgSz w:w="11906" w:h="16838"/>
          <w:pgMar w:top="1440" w:right="1689" w:bottom="1440" w:left="1689" w:header="851" w:footer="992" w:gutter="0"/>
          <w:cols w:space="720" w:num="1"/>
          <w:docGrid w:linePitch="360" w:charSpace="0"/>
        </w:sectPr>
      </w:pPr>
    </w:p>
    <w:p w14:paraId="1D5675B1">
      <w:pPr>
        <w:pStyle w:val="212"/>
        <w:keepNext/>
        <w:spacing w:beforeAutospacing="0" w:afterAutospacing="0"/>
        <w:jc w:val="center"/>
        <w:rPr>
          <w:rFonts w:hint="eastAsia" w:ascii="仿宋" w:hAnsi="仿宋" w:eastAsia="仿宋" w:cs="仿宋"/>
          <w:sz w:val="28"/>
          <w:szCs w:val="28"/>
          <w:highlight w:val="none"/>
          <w:lang w:val="en-US" w:eastAsia="zh-CN"/>
        </w:rPr>
      </w:pPr>
      <w:r>
        <w:rPr>
          <w:rFonts w:hint="eastAsia" w:eastAsia="黑体"/>
          <w:color w:val="000000"/>
          <w:sz w:val="36"/>
          <w:szCs w:val="36"/>
          <w:highlight w:val="none"/>
        </w:rPr>
        <w:t xml:space="preserve">第一部分   </w:t>
      </w:r>
      <w:bookmarkStart w:id="167" w:name="_GoBack"/>
      <w:r>
        <w:rPr>
          <w:rFonts w:hint="eastAsia" w:eastAsia="黑体"/>
          <w:color w:val="000000"/>
          <w:sz w:val="36"/>
          <w:szCs w:val="36"/>
          <w:highlight w:val="none"/>
        </w:rPr>
        <w:t>询 价 公 告</w:t>
      </w:r>
    </w:p>
    <w:p w14:paraId="117B6086">
      <w:pPr>
        <w:pStyle w:val="212"/>
        <w:keepNext w:val="0"/>
        <w:keepLines w:val="0"/>
        <w:pageBreakBefore w:val="0"/>
        <w:widowControl/>
        <w:pBdr>
          <w:top w:val="single" w:color="000000" w:sz="4" w:space="0"/>
          <w:left w:val="single" w:color="000000" w:sz="4" w:space="0"/>
          <w:bottom w:val="single" w:color="000000" w:sz="4" w:space="0"/>
          <w:right w:val="single" w:color="000000" w:sz="4" w:space="0"/>
        </w:pBdr>
        <w:spacing w:beforeAutospacing="0" w:afterAutospacing="0" w:line="380" w:lineRule="exact"/>
        <w:jc w:val="both"/>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项目概况</w:t>
      </w:r>
    </w:p>
    <w:p w14:paraId="1D52EC02">
      <w:pPr>
        <w:pStyle w:val="212"/>
        <w:keepNext w:val="0"/>
        <w:keepLines w:val="0"/>
        <w:pageBreakBefore w:val="0"/>
        <w:widowControl/>
        <w:pBdr>
          <w:top w:val="single" w:color="000000" w:sz="4" w:space="0"/>
          <w:left w:val="single" w:color="000000" w:sz="4" w:space="0"/>
          <w:bottom w:val="single" w:color="000000" w:sz="4" w:space="0"/>
          <w:right w:val="single" w:color="000000" w:sz="4" w:space="0"/>
        </w:pBdr>
        <w:spacing w:beforeAutospacing="0" w:afterAutospacing="0" w:line="380" w:lineRule="exact"/>
        <w:ind w:firstLine="482"/>
        <w:jc w:val="both"/>
        <w:rPr>
          <w:rFonts w:hint="eastAsia" w:ascii="宋体" w:hAnsi="宋体" w:eastAsia="宋体" w:cs="宋体"/>
          <w:sz w:val="24"/>
          <w:szCs w:val="24"/>
          <w:highlight w:val="none"/>
        </w:rPr>
      </w:pPr>
      <w:r>
        <w:rPr>
          <w:rFonts w:hint="eastAsia" w:cs="宋体"/>
          <w:b w:val="0"/>
          <w:bCs w:val="0"/>
          <w:color w:val="000000"/>
          <w:sz w:val="24"/>
          <w:szCs w:val="24"/>
          <w:highlight w:val="none"/>
          <w:u w:val="single"/>
          <w:lang w:eastAsia="zh-CN"/>
        </w:rPr>
        <w:t>阜宁县殡仪服务中心殡仪专用车辆采购项目（二次）</w:t>
      </w:r>
      <w:r>
        <w:rPr>
          <w:rFonts w:hint="eastAsia" w:ascii="宋体" w:hAnsi="宋体" w:eastAsia="宋体" w:cs="宋体"/>
          <w:color w:val="000000"/>
          <w:sz w:val="24"/>
          <w:szCs w:val="24"/>
          <w:highlight w:val="none"/>
        </w:rPr>
        <w:t>的潜在供应商</w:t>
      </w:r>
      <w:r>
        <w:rPr>
          <w:rFonts w:hint="eastAsia" w:ascii="宋体" w:hAnsi="宋体" w:eastAsia="宋体" w:cs="宋体"/>
          <w:color w:val="000000"/>
          <w:sz w:val="24"/>
          <w:szCs w:val="24"/>
          <w:highlight w:val="none"/>
          <w:lang w:val="en-US" w:eastAsia="zh-CN"/>
        </w:rPr>
        <w:t>应</w:t>
      </w:r>
      <w:r>
        <w:rPr>
          <w:rFonts w:hint="eastAsia" w:ascii="宋体" w:hAnsi="宋体" w:eastAsia="宋体" w:cs="宋体"/>
          <w:color w:val="000000"/>
          <w:sz w:val="24"/>
          <w:szCs w:val="24"/>
          <w:highlight w:val="none"/>
        </w:rPr>
        <w:t>在</w:t>
      </w:r>
      <w:r>
        <w:rPr>
          <w:rFonts w:hint="eastAsia" w:ascii="宋体" w:hAnsi="宋体" w:eastAsia="宋体" w:cs="宋体"/>
          <w:i w:val="0"/>
          <w:iCs w:val="0"/>
          <w:caps w:val="0"/>
          <w:color w:val="333333"/>
          <w:spacing w:val="0"/>
          <w:sz w:val="24"/>
          <w:szCs w:val="24"/>
          <w:highlight w:val="none"/>
          <w:shd w:val="clear" w:color="auto" w:fill="FFFFFF"/>
        </w:rPr>
        <w:t>“苏采云”系统内免费下载（投标人必须在苏采云系统中获取</w:t>
      </w:r>
      <w:r>
        <w:rPr>
          <w:rFonts w:hint="eastAsia" w:ascii="宋体" w:hAnsi="宋体" w:eastAsia="宋体" w:cs="宋体"/>
          <w:i w:val="0"/>
          <w:iCs w:val="0"/>
          <w:caps w:val="0"/>
          <w:color w:val="333333"/>
          <w:spacing w:val="0"/>
          <w:sz w:val="24"/>
          <w:szCs w:val="24"/>
          <w:highlight w:val="none"/>
          <w:shd w:val="clear" w:color="auto" w:fill="FFFFFF"/>
          <w:lang w:val="en-US" w:eastAsia="zh-CN"/>
        </w:rPr>
        <w:t>询价</w:t>
      </w:r>
      <w:r>
        <w:rPr>
          <w:rFonts w:hint="eastAsia" w:ascii="宋体" w:hAnsi="宋体" w:eastAsia="宋体" w:cs="宋体"/>
          <w:i w:val="0"/>
          <w:iCs w:val="0"/>
          <w:caps w:val="0"/>
          <w:color w:val="333333"/>
          <w:spacing w:val="0"/>
          <w:sz w:val="24"/>
          <w:szCs w:val="24"/>
          <w:highlight w:val="none"/>
          <w:shd w:val="clear" w:color="auto" w:fill="FFFFFF"/>
        </w:rPr>
        <w:t>文件，方能参与政府采购项目）</w:t>
      </w:r>
      <w:r>
        <w:rPr>
          <w:rFonts w:hint="eastAsia" w:ascii="宋体" w:hAnsi="宋体" w:eastAsia="宋体" w:cs="宋体"/>
          <w:color w:val="000000"/>
          <w:sz w:val="24"/>
          <w:szCs w:val="24"/>
          <w:highlight w:val="none"/>
        </w:rPr>
        <w:t>，并于</w:t>
      </w:r>
      <w:r>
        <w:rPr>
          <w:rFonts w:hint="eastAsia" w:cs="宋体"/>
          <w:b w:val="0"/>
          <w:bCs w:val="0"/>
          <w:color w:val="000000"/>
          <w:sz w:val="24"/>
          <w:szCs w:val="24"/>
          <w:highlight w:val="none"/>
          <w:u w:val="single"/>
          <w:lang w:val="en-US" w:eastAsia="zh-CN"/>
        </w:rPr>
        <w:t>2025年12月30日15点00分</w:t>
      </w:r>
      <w:r>
        <w:rPr>
          <w:rFonts w:hint="eastAsia" w:ascii="宋体" w:hAnsi="宋体" w:eastAsia="宋体" w:cs="宋体"/>
          <w:color w:val="000000"/>
          <w:sz w:val="24"/>
          <w:szCs w:val="24"/>
          <w:highlight w:val="none"/>
          <w:u w:val="single"/>
        </w:rPr>
        <w:t>（</w:t>
      </w:r>
      <w:r>
        <w:rPr>
          <w:rFonts w:hint="eastAsia" w:ascii="宋体" w:hAnsi="宋体" w:eastAsia="宋体" w:cs="宋体"/>
          <w:color w:val="000000"/>
          <w:sz w:val="24"/>
          <w:szCs w:val="24"/>
          <w:highlight w:val="none"/>
        </w:rPr>
        <w:t>北京时间）前递交响应文件。</w:t>
      </w:r>
    </w:p>
    <w:p w14:paraId="0FB94870">
      <w:pPr>
        <w:pStyle w:val="212"/>
        <w:keepNext/>
        <w:keepLines/>
        <w:pageBreakBefore w:val="0"/>
        <w:widowControl/>
        <w:spacing w:before="100" w:beforeAutospacing="0" w:after="100" w:afterAutospacing="0" w:line="240" w:lineRule="auto"/>
        <w:ind w:firstLine="482"/>
        <w:jc w:val="both"/>
        <w:rPr>
          <w:rFonts w:hint="eastAsia" w:ascii="宋体" w:hAnsi="宋体" w:eastAsia="宋体" w:cs="宋体"/>
          <w:b/>
          <w:color w:val="000000"/>
          <w:sz w:val="24"/>
          <w:szCs w:val="24"/>
          <w:highlight w:val="none"/>
          <w:shd w:val="clear" w:color="auto" w:fill="auto"/>
        </w:rPr>
      </w:pPr>
      <w:bookmarkStart w:id="6" w:name="_Toc38985263"/>
      <w:bookmarkStart w:id="7" w:name="_Hlk24379207"/>
      <w:bookmarkStart w:id="8" w:name="_Toc35393621"/>
      <w:bookmarkStart w:id="9" w:name="_Toc28359079"/>
      <w:bookmarkStart w:id="10" w:name="_Toc35393790"/>
      <w:bookmarkStart w:id="11" w:name="_Toc28359002"/>
      <w:r>
        <w:rPr>
          <w:rFonts w:hint="eastAsia" w:ascii="宋体" w:hAnsi="宋体" w:eastAsia="宋体" w:cs="宋体"/>
          <w:b/>
          <w:color w:val="000000"/>
          <w:sz w:val="24"/>
          <w:szCs w:val="24"/>
          <w:highlight w:val="none"/>
          <w:shd w:val="clear" w:color="auto" w:fill="auto"/>
        </w:rPr>
        <w:t>一、项目基本情况</w:t>
      </w:r>
      <w:bookmarkEnd w:id="6"/>
      <w:bookmarkEnd w:id="7"/>
      <w:bookmarkEnd w:id="8"/>
      <w:bookmarkEnd w:id="9"/>
      <w:bookmarkEnd w:id="10"/>
      <w:bookmarkEnd w:id="11"/>
    </w:p>
    <w:p w14:paraId="6DAFF5D0">
      <w:pPr>
        <w:pStyle w:val="212"/>
        <w:keepNext w:val="0"/>
        <w:keepLines w:val="0"/>
        <w:pageBreakBefore w:val="0"/>
        <w:widowControl/>
        <w:spacing w:beforeAutospacing="0" w:afterAutospacing="0" w:line="380" w:lineRule="exact"/>
        <w:ind w:firstLine="482"/>
        <w:jc w:val="both"/>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1.项目编号：</w:t>
      </w:r>
      <w:r>
        <w:rPr>
          <w:rFonts w:hint="eastAsia"/>
          <w:sz w:val="24"/>
          <w:lang w:eastAsia="zh-CN"/>
        </w:rPr>
        <w:t>JSZC-320923-SNST-X2025-0003</w:t>
      </w:r>
    </w:p>
    <w:p w14:paraId="047344EF">
      <w:pPr>
        <w:pStyle w:val="212"/>
        <w:keepNext w:val="0"/>
        <w:keepLines w:val="0"/>
        <w:pageBreakBefore w:val="0"/>
        <w:widowControl/>
        <w:spacing w:beforeAutospacing="0" w:afterAutospacing="0" w:line="380" w:lineRule="exact"/>
        <w:ind w:firstLine="482"/>
        <w:jc w:val="both"/>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2.项目名称：</w:t>
      </w:r>
      <w:r>
        <w:rPr>
          <w:rFonts w:hint="eastAsia" w:cs="宋体"/>
          <w:color w:val="000000"/>
          <w:sz w:val="24"/>
          <w:szCs w:val="24"/>
          <w:highlight w:val="none"/>
          <w:shd w:val="clear" w:color="auto" w:fill="auto"/>
          <w:lang w:val="en-US" w:eastAsia="zh-CN"/>
        </w:rPr>
        <w:t>阜宁县殡仪服务中心殡仪专用车辆采购项目（二次）</w:t>
      </w:r>
    </w:p>
    <w:p w14:paraId="635CEC90">
      <w:pPr>
        <w:pStyle w:val="212"/>
        <w:keepNext w:val="0"/>
        <w:keepLines w:val="0"/>
        <w:pageBreakBefore w:val="0"/>
        <w:widowControl/>
        <w:spacing w:beforeAutospacing="0" w:afterAutospacing="0" w:line="380" w:lineRule="exact"/>
        <w:ind w:firstLine="482"/>
        <w:jc w:val="both"/>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3.采购方式：询价</w:t>
      </w:r>
    </w:p>
    <w:p w14:paraId="17C6717B">
      <w:pPr>
        <w:pStyle w:val="212"/>
        <w:keepNext w:val="0"/>
        <w:keepLines w:val="0"/>
        <w:pageBreakBefore w:val="0"/>
        <w:widowControl/>
        <w:spacing w:beforeAutospacing="0" w:afterAutospacing="0" w:line="380" w:lineRule="exact"/>
        <w:ind w:firstLine="482"/>
        <w:jc w:val="both"/>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4.预算金额：</w:t>
      </w:r>
      <w:r>
        <w:rPr>
          <w:rFonts w:hint="eastAsia" w:cs="宋体"/>
          <w:color w:val="000000"/>
          <w:sz w:val="24"/>
          <w:szCs w:val="24"/>
          <w:highlight w:val="none"/>
          <w:shd w:val="clear" w:color="auto" w:fill="auto"/>
          <w:lang w:val="en-US" w:eastAsia="zh-CN"/>
        </w:rPr>
        <w:t>69万元</w:t>
      </w:r>
    </w:p>
    <w:p w14:paraId="3CC592B0">
      <w:pPr>
        <w:pStyle w:val="212"/>
        <w:keepNext w:val="0"/>
        <w:keepLines w:val="0"/>
        <w:pageBreakBefore w:val="0"/>
        <w:widowControl/>
        <w:spacing w:beforeAutospacing="0" w:afterAutospacing="0" w:line="380" w:lineRule="exact"/>
        <w:ind w:firstLine="482"/>
        <w:jc w:val="both"/>
        <w:rPr>
          <w:rFonts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5.最高限价：</w:t>
      </w:r>
      <w:r>
        <w:rPr>
          <w:rFonts w:hint="eastAsia" w:cs="宋体"/>
          <w:color w:val="000000"/>
          <w:sz w:val="24"/>
          <w:szCs w:val="24"/>
          <w:highlight w:val="none"/>
          <w:shd w:val="clear" w:color="auto" w:fill="auto"/>
          <w:lang w:val="en-US" w:eastAsia="zh-CN"/>
        </w:rPr>
        <w:t>69万元</w:t>
      </w:r>
    </w:p>
    <w:p w14:paraId="1C119EAA">
      <w:pPr>
        <w:pStyle w:val="212"/>
        <w:keepNext w:val="0"/>
        <w:keepLines w:val="0"/>
        <w:pageBreakBefore w:val="0"/>
        <w:widowControl/>
        <w:spacing w:beforeAutospacing="0" w:afterAutospacing="0" w:line="380" w:lineRule="exact"/>
        <w:ind w:firstLine="482"/>
        <w:jc w:val="both"/>
        <w:rPr>
          <w:rFonts w:hint="eastAsia"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6.采购需求：</w:t>
      </w:r>
      <w:r>
        <w:rPr>
          <w:rFonts w:hint="eastAsia" w:cs="宋体"/>
          <w:color w:val="000000"/>
          <w:sz w:val="24"/>
          <w:szCs w:val="24"/>
          <w:highlight w:val="none"/>
          <w:shd w:val="clear" w:color="auto" w:fill="auto"/>
          <w:lang w:val="en-US" w:eastAsia="zh-CN"/>
        </w:rPr>
        <w:t>阜宁县殡仪服务中心殡仪专用车辆采购项目（二次），主要工作内容为阜宁县殡仪服务中心6辆殡仪服务专用车辆的采购、其中3辆柴油车、3辆汽油车、运输、安装、调试、维修、售前、售后等相关伴随服务项目，具体内容详见采购清单。采购资金为国有资金，资金来源已经落实。</w:t>
      </w:r>
    </w:p>
    <w:p w14:paraId="557FE51E">
      <w:pPr>
        <w:pStyle w:val="212"/>
        <w:keepNext w:val="0"/>
        <w:keepLines w:val="0"/>
        <w:pageBreakBefore w:val="0"/>
        <w:widowControl/>
        <w:spacing w:beforeAutospacing="0" w:afterAutospacing="0" w:line="380" w:lineRule="exact"/>
        <w:ind w:firstLine="482"/>
        <w:jc w:val="both"/>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7.合同履行期限：</w:t>
      </w:r>
      <w:r>
        <w:rPr>
          <w:rFonts w:hint="eastAsia" w:cs="宋体"/>
          <w:color w:val="000000"/>
          <w:sz w:val="24"/>
          <w:szCs w:val="24"/>
          <w:highlight w:val="none"/>
          <w:shd w:val="clear" w:color="auto" w:fill="auto"/>
          <w:lang w:val="en-US" w:eastAsia="zh-CN"/>
        </w:rPr>
        <w:t>合同签订后90日历天内完成全部货物的采购、供货、安装，并交付采购人正常运营使用</w:t>
      </w:r>
      <w:r>
        <w:rPr>
          <w:rFonts w:hint="eastAsia" w:ascii="宋体" w:hAnsi="宋体" w:eastAsia="宋体" w:cs="宋体"/>
          <w:color w:val="000000"/>
          <w:sz w:val="24"/>
          <w:szCs w:val="24"/>
          <w:highlight w:val="none"/>
          <w:shd w:val="clear" w:color="auto" w:fill="auto"/>
          <w:lang w:val="en-US" w:eastAsia="zh-CN"/>
        </w:rPr>
        <w:t>。</w:t>
      </w:r>
    </w:p>
    <w:p w14:paraId="3B9DF971">
      <w:pPr>
        <w:pStyle w:val="212"/>
        <w:keepNext w:val="0"/>
        <w:keepLines w:val="0"/>
        <w:pageBreakBefore w:val="0"/>
        <w:widowControl/>
        <w:spacing w:beforeAutospacing="0" w:afterAutospacing="0" w:line="380" w:lineRule="exact"/>
        <w:ind w:firstLine="482"/>
        <w:jc w:val="both"/>
        <w:rPr>
          <w:rFonts w:hint="eastAsia" w:cs="宋体"/>
          <w:color w:val="000000"/>
          <w:sz w:val="24"/>
          <w:szCs w:val="24"/>
          <w:highlight w:val="none"/>
          <w:shd w:val="clear" w:color="auto" w:fill="auto"/>
          <w:lang w:val="en-US" w:eastAsia="zh-CN"/>
        </w:rPr>
      </w:pPr>
      <w:bookmarkStart w:id="12" w:name="_Toc28359003"/>
      <w:bookmarkStart w:id="13" w:name="_Toc35393791"/>
      <w:bookmarkStart w:id="14" w:name="_Toc28359080"/>
      <w:bookmarkStart w:id="15" w:name="_Toc35393622"/>
      <w:bookmarkStart w:id="16" w:name="_Toc38985264"/>
      <w:r>
        <w:rPr>
          <w:rFonts w:hint="eastAsia" w:ascii="宋体" w:hAnsi="宋体" w:eastAsia="宋体" w:cs="宋体"/>
          <w:color w:val="000000"/>
          <w:sz w:val="24"/>
          <w:szCs w:val="24"/>
          <w:highlight w:val="none"/>
          <w:shd w:val="clear" w:color="auto" w:fill="auto"/>
          <w:lang w:val="en-US" w:eastAsia="zh-CN"/>
        </w:rPr>
        <w:t>8.质量标准：按国标、部标、行业标准及合同要求设计、生产、改装、验收。</w:t>
      </w:r>
      <w:r>
        <w:rPr>
          <w:rFonts w:hint="eastAsia" w:cs="宋体"/>
          <w:color w:val="000000"/>
          <w:sz w:val="24"/>
          <w:szCs w:val="24"/>
          <w:highlight w:val="none"/>
          <w:shd w:val="clear" w:color="auto" w:fill="auto"/>
          <w:lang w:val="en-US" w:eastAsia="zh-CN"/>
        </w:rPr>
        <w:t>（车辆出厂日期不超过6个月）</w:t>
      </w:r>
    </w:p>
    <w:p w14:paraId="72657B1E">
      <w:pPr>
        <w:spacing w:line="360" w:lineRule="auto"/>
        <w:ind w:firstLine="480"/>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9.车辆须符合《殡仪车通用技术规范》(MZ/T227一2024)要求</w:t>
      </w:r>
    </w:p>
    <w:p w14:paraId="1B93D8D8">
      <w:pPr>
        <w:pStyle w:val="212"/>
        <w:keepNext w:val="0"/>
        <w:keepLines w:val="0"/>
        <w:pageBreakBefore w:val="0"/>
        <w:widowControl/>
        <w:spacing w:beforeAutospacing="0" w:afterAutospacing="0" w:line="380" w:lineRule="exact"/>
        <w:ind w:firstLine="482"/>
        <w:jc w:val="both"/>
        <w:rPr>
          <w:rFonts w:hint="eastAsia" w:ascii="宋体" w:hAnsi="宋体" w:eastAsia="宋体" w:cs="宋体"/>
          <w:color w:val="000000"/>
          <w:sz w:val="24"/>
          <w:szCs w:val="24"/>
          <w:highlight w:val="none"/>
          <w:shd w:val="clear" w:color="auto" w:fill="auto"/>
          <w:lang w:val="en-US" w:eastAsia="zh-CN"/>
        </w:rPr>
      </w:pPr>
      <w:r>
        <w:rPr>
          <w:rFonts w:hint="eastAsia" w:cs="宋体"/>
          <w:color w:val="000000"/>
          <w:sz w:val="24"/>
          <w:szCs w:val="24"/>
          <w:highlight w:val="none"/>
          <w:shd w:val="clear" w:color="auto" w:fill="auto"/>
          <w:lang w:val="en-US" w:eastAsia="zh-CN"/>
        </w:rPr>
        <w:t>10</w:t>
      </w:r>
      <w:r>
        <w:rPr>
          <w:rFonts w:hint="eastAsia" w:ascii="宋体" w:hAnsi="宋体" w:eastAsia="宋体" w:cs="宋体"/>
          <w:color w:val="000000"/>
          <w:sz w:val="24"/>
          <w:szCs w:val="24"/>
          <w:highlight w:val="none"/>
          <w:shd w:val="clear" w:color="auto" w:fill="auto"/>
          <w:lang w:val="en-US" w:eastAsia="zh-CN"/>
        </w:rPr>
        <w:t>.质保期：自车辆验收合格之日起3年或者行驶里程60000公里，以先到者为准。</w:t>
      </w:r>
    </w:p>
    <w:p w14:paraId="64D4ABD0">
      <w:pPr>
        <w:pStyle w:val="212"/>
        <w:keepNext w:val="0"/>
        <w:keepLines w:val="0"/>
        <w:pageBreakBefore w:val="0"/>
        <w:widowControl/>
        <w:spacing w:beforeAutospacing="0" w:afterAutospacing="0" w:line="380" w:lineRule="exact"/>
        <w:ind w:firstLine="482"/>
        <w:jc w:val="both"/>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1</w:t>
      </w:r>
      <w:r>
        <w:rPr>
          <w:rFonts w:hint="eastAsia" w:cs="宋体"/>
          <w:color w:val="000000"/>
          <w:sz w:val="24"/>
          <w:szCs w:val="24"/>
          <w:highlight w:val="none"/>
          <w:shd w:val="clear" w:color="auto" w:fill="auto"/>
          <w:lang w:val="en-US" w:eastAsia="zh-CN"/>
        </w:rPr>
        <w:t>1</w:t>
      </w:r>
      <w:r>
        <w:rPr>
          <w:rFonts w:hint="eastAsia" w:ascii="宋体" w:hAnsi="宋体" w:eastAsia="宋体" w:cs="宋体"/>
          <w:color w:val="000000"/>
          <w:sz w:val="24"/>
          <w:szCs w:val="24"/>
          <w:highlight w:val="none"/>
          <w:shd w:val="clear" w:color="auto" w:fill="auto"/>
          <w:lang w:val="en-US" w:eastAsia="zh-CN"/>
        </w:rPr>
        <w:t>.本项目不接受联合体参与本项目的询价。</w:t>
      </w:r>
    </w:p>
    <w:p w14:paraId="1A771152">
      <w:pPr>
        <w:pStyle w:val="212"/>
        <w:keepNext/>
        <w:keepLines/>
        <w:pageBreakBefore w:val="0"/>
        <w:widowControl/>
        <w:spacing w:before="100" w:beforeAutospacing="0" w:after="100" w:afterAutospacing="0" w:line="240" w:lineRule="auto"/>
        <w:ind w:firstLine="482"/>
        <w:jc w:val="both"/>
        <w:rPr>
          <w:rFonts w:hint="eastAsia" w:ascii="宋体" w:hAnsi="宋体" w:eastAsia="宋体" w:cs="宋体"/>
          <w:b/>
          <w:color w:val="000000"/>
          <w:sz w:val="24"/>
          <w:szCs w:val="24"/>
          <w:highlight w:val="none"/>
          <w:shd w:val="clear" w:color="auto" w:fill="auto"/>
        </w:rPr>
      </w:pPr>
      <w:r>
        <w:rPr>
          <w:rFonts w:hint="eastAsia" w:ascii="宋体" w:hAnsi="宋体" w:eastAsia="宋体" w:cs="宋体"/>
          <w:b/>
          <w:color w:val="000000"/>
          <w:sz w:val="24"/>
          <w:szCs w:val="24"/>
          <w:highlight w:val="none"/>
          <w:shd w:val="clear" w:color="auto" w:fill="auto"/>
        </w:rPr>
        <w:t>二、申请人的资格要求：</w:t>
      </w:r>
      <w:bookmarkEnd w:id="12"/>
      <w:bookmarkEnd w:id="13"/>
      <w:bookmarkEnd w:id="14"/>
      <w:bookmarkEnd w:id="15"/>
      <w:bookmarkEnd w:id="16"/>
    </w:p>
    <w:p w14:paraId="49C444C9">
      <w:pPr>
        <w:pStyle w:val="212"/>
        <w:keepNext w:val="0"/>
        <w:keepLines w:val="0"/>
        <w:pageBreakBefore w:val="0"/>
        <w:widowControl/>
        <w:spacing w:beforeAutospacing="0" w:afterAutospacing="0" w:line="380" w:lineRule="exact"/>
        <w:ind w:firstLine="482"/>
        <w:jc w:val="both"/>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1.满足《中华人民共和国政府采购法》第二十二条规定，并提供下列材料：</w:t>
      </w:r>
    </w:p>
    <w:p w14:paraId="3B4A36FB">
      <w:pPr>
        <w:pStyle w:val="212"/>
        <w:keepNext w:val="0"/>
        <w:keepLines w:val="0"/>
        <w:pageBreakBefore w:val="0"/>
        <w:widowControl/>
        <w:spacing w:beforeAutospacing="0" w:afterAutospacing="0" w:line="380" w:lineRule="exact"/>
        <w:ind w:firstLine="482"/>
        <w:jc w:val="both"/>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1.1 法人或者其他组织的营业执照等证明文件，自然人的身份证明；</w:t>
      </w:r>
    </w:p>
    <w:p w14:paraId="31D36596">
      <w:pPr>
        <w:pStyle w:val="212"/>
        <w:keepNext w:val="0"/>
        <w:keepLines w:val="0"/>
        <w:pageBreakBefore w:val="0"/>
        <w:widowControl/>
        <w:spacing w:beforeAutospacing="0" w:afterAutospacing="0" w:line="380" w:lineRule="exact"/>
        <w:ind w:firstLine="482"/>
        <w:jc w:val="both"/>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1.2上一年度（</w:t>
      </w:r>
      <w:r>
        <w:rPr>
          <w:rFonts w:hint="eastAsia" w:cs="宋体"/>
          <w:color w:val="000000"/>
          <w:sz w:val="24"/>
          <w:szCs w:val="24"/>
          <w:highlight w:val="none"/>
          <w:shd w:val="clear" w:color="auto" w:fill="auto"/>
          <w:lang w:val="en-US" w:eastAsia="zh-CN"/>
        </w:rPr>
        <w:t>2024年度</w:t>
      </w:r>
      <w:r>
        <w:rPr>
          <w:rFonts w:hint="eastAsia" w:ascii="宋体" w:hAnsi="宋体" w:eastAsia="宋体" w:cs="宋体"/>
          <w:color w:val="000000"/>
          <w:sz w:val="24"/>
          <w:szCs w:val="24"/>
          <w:highlight w:val="none"/>
          <w:shd w:val="clear" w:color="auto" w:fill="auto"/>
          <w:lang w:val="en-US" w:eastAsia="zh-CN"/>
        </w:rPr>
        <w:t>）的财务状况报表（财务报表至少应包括资产负债表、利润表，成立不满一年无需提供）；</w:t>
      </w:r>
    </w:p>
    <w:p w14:paraId="1F2D4D48">
      <w:pPr>
        <w:pStyle w:val="212"/>
        <w:keepNext w:val="0"/>
        <w:keepLines w:val="0"/>
        <w:pageBreakBefore w:val="0"/>
        <w:widowControl/>
        <w:spacing w:beforeAutospacing="0" w:afterAutospacing="0" w:line="380" w:lineRule="exact"/>
        <w:ind w:firstLine="482"/>
        <w:jc w:val="both"/>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1.3具备履行合同所必需的设备和专业技术能力的书面声明；</w:t>
      </w:r>
    </w:p>
    <w:p w14:paraId="5F56D181">
      <w:pPr>
        <w:pStyle w:val="212"/>
        <w:keepNext w:val="0"/>
        <w:keepLines w:val="0"/>
        <w:pageBreakBefore w:val="0"/>
        <w:widowControl/>
        <w:spacing w:beforeAutospacing="0" w:afterAutospacing="0" w:line="380" w:lineRule="exact"/>
        <w:ind w:firstLine="482"/>
        <w:jc w:val="both"/>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1.4依法缴纳税收和社会保障资金的相关材料（提供提交响应文件截止时间前一年内至少一个月依法缴纳税收及缴纳社会保障资金的证明材料。供应商依法享受缓缴、免缴税收、社会保障资金的提供证明材料。）；</w:t>
      </w:r>
    </w:p>
    <w:p w14:paraId="5D6AEE0A">
      <w:pPr>
        <w:pStyle w:val="212"/>
        <w:keepNext w:val="0"/>
        <w:keepLines w:val="0"/>
        <w:pageBreakBefore w:val="0"/>
        <w:widowControl/>
        <w:spacing w:beforeAutospacing="0" w:afterAutospacing="0" w:line="380" w:lineRule="exact"/>
        <w:ind w:firstLine="482"/>
        <w:jc w:val="both"/>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1.5参加政府采购活动前3年内在经营活动中没有重大违法记录的书面声明；</w:t>
      </w:r>
    </w:p>
    <w:p w14:paraId="7D052AC1">
      <w:pPr>
        <w:pStyle w:val="212"/>
        <w:keepNext w:val="0"/>
        <w:keepLines w:val="0"/>
        <w:pageBreakBefore w:val="0"/>
        <w:widowControl/>
        <w:spacing w:beforeAutospacing="0" w:afterAutospacing="0" w:line="380" w:lineRule="exact"/>
        <w:ind w:firstLine="482"/>
        <w:jc w:val="both"/>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1.6法律、行政法规规定的其他条件；</w:t>
      </w:r>
    </w:p>
    <w:p w14:paraId="429E8CBB">
      <w:pPr>
        <w:pStyle w:val="212"/>
        <w:keepNext w:val="0"/>
        <w:keepLines w:val="0"/>
        <w:pageBreakBefore w:val="0"/>
        <w:widowControl/>
        <w:spacing w:beforeAutospacing="0" w:afterAutospacing="0" w:line="380" w:lineRule="exact"/>
        <w:ind w:firstLine="482"/>
        <w:jc w:val="both"/>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1.7在“信用中国”网站查询，无被列入失信被执行人、重大税收违法案件当事人名单、政府采购严重失信行为记录名单及其他不符合《中华人民共和国政府采购法》第二十二条规定条件的信用记录。（响应文件中无需提供证明材料）；</w:t>
      </w:r>
    </w:p>
    <w:p w14:paraId="1BBDE797">
      <w:pPr>
        <w:pStyle w:val="212"/>
        <w:keepNext w:val="0"/>
        <w:keepLines w:val="0"/>
        <w:pageBreakBefore w:val="0"/>
        <w:widowControl/>
        <w:spacing w:beforeAutospacing="0" w:afterAutospacing="0" w:line="380" w:lineRule="exact"/>
        <w:ind w:firstLine="482"/>
        <w:jc w:val="both"/>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1.8单位负责人为同一人或者存在直接控股、管理关系的不同供应商，不得参加同一合同项下的政府采购活动。</w:t>
      </w:r>
    </w:p>
    <w:p w14:paraId="30B76D72">
      <w:pPr>
        <w:pStyle w:val="212"/>
        <w:keepNext w:val="0"/>
        <w:keepLines w:val="0"/>
        <w:pageBreakBefore w:val="0"/>
        <w:widowControl/>
        <w:spacing w:beforeAutospacing="0" w:afterAutospacing="0" w:line="380" w:lineRule="exact"/>
        <w:ind w:firstLine="482"/>
        <w:jc w:val="both"/>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2.落实政府采购政策需满足的资格要求：无。</w:t>
      </w:r>
    </w:p>
    <w:p w14:paraId="5B48576B">
      <w:pPr>
        <w:widowControl/>
        <w:spacing w:line="360" w:lineRule="auto"/>
        <w:ind w:firstLine="560"/>
        <w:rPr>
          <w:rFonts w:hint="default" w:ascii="宋体" w:hAnsi="宋体" w:eastAsia="宋体" w:cs="宋体"/>
          <w:color w:val="auto"/>
          <w:kern w:val="0"/>
          <w:sz w:val="24"/>
          <w:szCs w:val="22"/>
          <w:lang w:val="en-US" w:eastAsia="zh-CN" w:bidi="ar-SA"/>
        </w:rPr>
      </w:pPr>
      <w:r>
        <w:rPr>
          <w:rFonts w:hint="eastAsia" w:ascii="宋体" w:hAnsi="宋体" w:eastAsia="宋体" w:cs="宋体"/>
          <w:color w:val="000000"/>
          <w:sz w:val="24"/>
          <w:szCs w:val="24"/>
          <w:highlight w:val="none"/>
          <w:shd w:val="clear" w:color="auto" w:fill="auto"/>
          <w:lang w:val="en-US" w:eastAsia="zh-CN"/>
        </w:rPr>
        <w:t>3.本项目的特定资格要求：</w:t>
      </w:r>
      <w:r>
        <w:rPr>
          <w:rFonts w:hint="eastAsia" w:ascii="宋体" w:hAnsi="宋体" w:eastAsia="宋体" w:cs="宋体"/>
          <w:b/>
          <w:bCs/>
          <w:color w:val="FF0000"/>
          <w:kern w:val="0"/>
          <w:sz w:val="24"/>
          <w:szCs w:val="22"/>
          <w:lang w:val="en-US" w:eastAsia="zh-CN" w:bidi="ar-SA"/>
        </w:rPr>
        <w:t>提供的殡仪车</w:t>
      </w:r>
      <w:r>
        <w:rPr>
          <w:rFonts w:hint="eastAsia" w:ascii="宋体" w:hAnsi="宋体" w:cs="宋体"/>
          <w:b/>
          <w:bCs/>
          <w:color w:val="FF0000"/>
          <w:kern w:val="0"/>
          <w:sz w:val="24"/>
          <w:szCs w:val="22"/>
          <w:lang w:val="en-US" w:eastAsia="zh-CN" w:bidi="ar-SA"/>
        </w:rPr>
        <w:t>须</w:t>
      </w:r>
      <w:r>
        <w:rPr>
          <w:rFonts w:hint="eastAsia" w:ascii="宋体" w:hAnsi="宋体" w:eastAsia="宋体" w:cs="宋体"/>
          <w:b/>
          <w:bCs/>
          <w:color w:val="FF0000"/>
          <w:kern w:val="0"/>
          <w:sz w:val="24"/>
          <w:szCs w:val="22"/>
          <w:lang w:val="en-US" w:eastAsia="zh-CN" w:bidi="ar-SA"/>
        </w:rPr>
        <w:t>已列入国家殡仪车产品目录，所有车辆手续正规完备。</w:t>
      </w:r>
      <w:r>
        <w:rPr>
          <w:rFonts w:hint="eastAsia" w:ascii="宋体" w:hAnsi="宋体" w:cs="宋体"/>
          <w:b/>
          <w:bCs/>
          <w:color w:val="FF0000"/>
          <w:kern w:val="0"/>
          <w:sz w:val="24"/>
          <w:szCs w:val="22"/>
          <w:lang w:val="en-US" w:eastAsia="zh-CN" w:bidi="ar-SA"/>
        </w:rPr>
        <w:t>（投标人附佐证材料复印件并加盖投标单位公章）</w:t>
      </w:r>
    </w:p>
    <w:p w14:paraId="4AB187C9">
      <w:pPr>
        <w:pStyle w:val="212"/>
        <w:keepNext/>
        <w:keepLines/>
        <w:pageBreakBefore w:val="0"/>
        <w:widowControl/>
        <w:spacing w:before="100" w:beforeAutospacing="0" w:after="100" w:afterAutospacing="0" w:line="240" w:lineRule="auto"/>
        <w:ind w:firstLine="482"/>
        <w:jc w:val="both"/>
        <w:rPr>
          <w:rFonts w:hint="eastAsia" w:ascii="宋体" w:hAnsi="宋体" w:eastAsia="宋体" w:cs="宋体"/>
          <w:b/>
          <w:color w:val="000000"/>
          <w:sz w:val="24"/>
          <w:szCs w:val="24"/>
          <w:highlight w:val="none"/>
          <w:shd w:val="clear" w:color="auto" w:fill="auto"/>
        </w:rPr>
      </w:pPr>
      <w:r>
        <w:rPr>
          <w:rFonts w:hint="eastAsia" w:ascii="宋体" w:hAnsi="宋体" w:eastAsia="宋体" w:cs="宋体"/>
          <w:b/>
          <w:color w:val="000000"/>
          <w:sz w:val="24"/>
          <w:szCs w:val="24"/>
          <w:highlight w:val="none"/>
          <w:shd w:val="clear" w:color="auto" w:fill="auto"/>
        </w:rPr>
        <w:t>三、获取</w:t>
      </w:r>
      <w:r>
        <w:rPr>
          <w:rFonts w:hint="eastAsia" w:ascii="宋体" w:hAnsi="宋体" w:eastAsia="宋体" w:cs="宋体"/>
          <w:b/>
          <w:color w:val="000000"/>
          <w:sz w:val="24"/>
          <w:szCs w:val="24"/>
          <w:highlight w:val="none"/>
          <w:shd w:val="clear" w:color="auto" w:fill="auto"/>
          <w:lang w:val="en-US" w:eastAsia="zh-CN"/>
        </w:rPr>
        <w:t>询价</w:t>
      </w:r>
      <w:r>
        <w:rPr>
          <w:rFonts w:hint="eastAsia" w:ascii="宋体" w:hAnsi="宋体" w:eastAsia="宋体" w:cs="宋体"/>
          <w:b/>
          <w:color w:val="000000"/>
          <w:sz w:val="24"/>
          <w:szCs w:val="24"/>
          <w:highlight w:val="none"/>
          <w:shd w:val="clear" w:color="auto" w:fill="auto"/>
        </w:rPr>
        <w:t>文件</w:t>
      </w:r>
    </w:p>
    <w:p w14:paraId="4B41DC1F">
      <w:pPr>
        <w:pStyle w:val="212"/>
        <w:keepNext w:val="0"/>
        <w:keepLines w:val="0"/>
        <w:pageBreakBefore w:val="0"/>
        <w:widowControl/>
        <w:spacing w:beforeAutospacing="0" w:afterAutospacing="0" w:line="380" w:lineRule="exact"/>
        <w:ind w:firstLine="482"/>
        <w:jc w:val="both"/>
        <w:rPr>
          <w:rFonts w:hint="eastAsia" w:ascii="宋体" w:hAnsi="宋体" w:eastAsia="宋体" w:cs="宋体"/>
          <w:color w:val="000000"/>
          <w:sz w:val="24"/>
          <w:szCs w:val="24"/>
          <w:highlight w:val="none"/>
          <w:shd w:val="clear" w:color="auto" w:fill="auto"/>
          <w:lang w:val="en-US" w:eastAsia="zh-CN"/>
        </w:rPr>
      </w:pPr>
      <w:bookmarkStart w:id="17" w:name="_Toc35393624"/>
      <w:bookmarkStart w:id="18" w:name="_Toc38985266"/>
      <w:bookmarkStart w:id="19" w:name="_Toc35393793"/>
      <w:bookmarkStart w:id="20" w:name="_Toc28359082"/>
      <w:bookmarkStart w:id="21" w:name="_Toc28359005"/>
      <w:r>
        <w:rPr>
          <w:rFonts w:hint="eastAsia" w:ascii="宋体" w:hAnsi="宋体" w:eastAsia="宋体" w:cs="宋体"/>
          <w:color w:val="000000"/>
          <w:sz w:val="24"/>
          <w:szCs w:val="24"/>
          <w:highlight w:val="none"/>
          <w:shd w:val="clear" w:color="auto" w:fill="auto"/>
          <w:lang w:val="en-US" w:eastAsia="zh-CN"/>
        </w:rPr>
        <w:t>1.时间：</w:t>
      </w:r>
      <w:bookmarkEnd w:id="17"/>
      <w:bookmarkEnd w:id="18"/>
      <w:bookmarkEnd w:id="19"/>
      <w:bookmarkEnd w:id="20"/>
      <w:bookmarkEnd w:id="21"/>
      <w:r>
        <w:rPr>
          <w:rFonts w:hint="eastAsia" w:ascii="宋体" w:hAnsi="宋体" w:eastAsia="宋体" w:cs="宋体"/>
          <w:color w:val="000000"/>
          <w:sz w:val="24"/>
          <w:szCs w:val="24"/>
          <w:highlight w:val="none"/>
          <w:shd w:val="clear" w:color="auto" w:fill="auto"/>
          <w:lang w:val="en-US" w:eastAsia="zh-CN"/>
        </w:rPr>
        <w:t>自询价文件公告发布之日起3个工作日。</w:t>
      </w:r>
    </w:p>
    <w:p w14:paraId="4F685EE4">
      <w:pPr>
        <w:pStyle w:val="212"/>
        <w:keepNext w:val="0"/>
        <w:keepLines w:val="0"/>
        <w:pageBreakBefore w:val="0"/>
        <w:widowControl/>
        <w:spacing w:beforeAutospacing="0" w:afterAutospacing="0" w:line="380" w:lineRule="exact"/>
        <w:ind w:firstLine="482"/>
        <w:jc w:val="both"/>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2.地点：“苏采云”系统内免费下载（投标人必须在苏采云系统中获取询价文件，方能参与政府采购项目）；</w:t>
      </w:r>
    </w:p>
    <w:p w14:paraId="6DB89393">
      <w:pPr>
        <w:pStyle w:val="212"/>
        <w:keepNext w:val="0"/>
        <w:keepLines w:val="0"/>
        <w:pageBreakBefore w:val="0"/>
        <w:widowControl/>
        <w:spacing w:beforeAutospacing="0" w:afterAutospacing="0" w:line="380" w:lineRule="exact"/>
        <w:ind w:firstLine="482"/>
        <w:jc w:val="both"/>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3.方式：本项目采用网上注册登记方式。 </w:t>
      </w:r>
    </w:p>
    <w:p w14:paraId="4DA77C01">
      <w:pPr>
        <w:pStyle w:val="212"/>
        <w:keepNext w:val="0"/>
        <w:keepLines w:val="0"/>
        <w:pageBreakBefore w:val="0"/>
        <w:widowControl/>
        <w:spacing w:beforeAutospacing="0" w:afterAutospacing="0" w:line="380" w:lineRule="exact"/>
        <w:ind w:firstLine="482"/>
        <w:jc w:val="both"/>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4.售价：0元</w:t>
      </w:r>
    </w:p>
    <w:p w14:paraId="5403355B">
      <w:pPr>
        <w:pStyle w:val="212"/>
        <w:keepNext/>
        <w:keepLines/>
        <w:pageBreakBefore w:val="0"/>
        <w:widowControl/>
        <w:spacing w:before="100" w:beforeAutospacing="0" w:after="100" w:afterAutospacing="0" w:line="240" w:lineRule="auto"/>
        <w:ind w:firstLine="482"/>
        <w:jc w:val="both"/>
        <w:rPr>
          <w:rFonts w:hint="eastAsia" w:ascii="宋体" w:hAnsi="宋体" w:eastAsia="宋体" w:cs="宋体"/>
          <w:b/>
          <w:color w:val="000000"/>
          <w:sz w:val="24"/>
          <w:szCs w:val="24"/>
          <w:highlight w:val="none"/>
          <w:shd w:val="clear" w:color="auto" w:fill="auto"/>
          <w:lang w:eastAsia="zh-CN"/>
        </w:rPr>
      </w:pPr>
      <w:r>
        <w:rPr>
          <w:rFonts w:hint="eastAsia" w:ascii="宋体" w:hAnsi="宋体" w:eastAsia="宋体" w:cs="宋体"/>
          <w:b/>
          <w:color w:val="000000"/>
          <w:sz w:val="24"/>
          <w:szCs w:val="24"/>
          <w:highlight w:val="none"/>
          <w:shd w:val="clear" w:color="auto" w:fill="auto"/>
        </w:rPr>
        <w:t>四、响应文件</w:t>
      </w:r>
      <w:r>
        <w:rPr>
          <w:rFonts w:hint="eastAsia" w:ascii="宋体" w:hAnsi="宋体" w:eastAsia="宋体" w:cs="宋体"/>
          <w:b/>
          <w:color w:val="000000"/>
          <w:sz w:val="24"/>
          <w:szCs w:val="24"/>
          <w:highlight w:val="none"/>
          <w:shd w:val="clear" w:color="auto" w:fill="auto"/>
          <w:lang w:val="en-US" w:eastAsia="zh-CN"/>
        </w:rPr>
        <w:t>提交</w:t>
      </w:r>
    </w:p>
    <w:p w14:paraId="2CADE6F9">
      <w:pPr>
        <w:pStyle w:val="212"/>
        <w:keepNext w:val="0"/>
        <w:keepLines w:val="0"/>
        <w:pageBreakBefore w:val="0"/>
        <w:widowControl/>
        <w:spacing w:beforeAutospacing="0" w:afterAutospacing="0" w:line="380" w:lineRule="exact"/>
        <w:ind w:firstLine="482"/>
        <w:jc w:val="both"/>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1.截止时间：</w:t>
      </w:r>
      <w:r>
        <w:rPr>
          <w:rFonts w:hint="eastAsia" w:cs="宋体"/>
          <w:color w:val="000000"/>
          <w:sz w:val="24"/>
          <w:szCs w:val="24"/>
          <w:highlight w:val="none"/>
          <w:shd w:val="clear" w:color="auto" w:fill="auto"/>
          <w:lang w:val="en-US" w:eastAsia="zh-CN"/>
        </w:rPr>
        <w:t>2025年12月30日15点00分</w:t>
      </w:r>
      <w:r>
        <w:rPr>
          <w:rFonts w:hint="eastAsia" w:ascii="宋体" w:hAnsi="宋体" w:eastAsia="宋体" w:cs="宋体"/>
          <w:color w:val="000000"/>
          <w:sz w:val="24"/>
          <w:szCs w:val="24"/>
          <w:highlight w:val="none"/>
          <w:shd w:val="clear" w:color="auto" w:fill="auto"/>
          <w:lang w:val="en-US" w:eastAsia="zh-CN"/>
        </w:rPr>
        <w:t>（北京时间）。</w:t>
      </w:r>
    </w:p>
    <w:p w14:paraId="6670F43A">
      <w:pPr>
        <w:pStyle w:val="212"/>
        <w:keepNext w:val="0"/>
        <w:keepLines w:val="0"/>
        <w:pageBreakBefore w:val="0"/>
        <w:widowControl/>
        <w:spacing w:beforeAutospacing="0" w:afterAutospacing="0" w:line="380" w:lineRule="exact"/>
        <w:ind w:firstLine="482"/>
        <w:jc w:val="both"/>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2.地点：苏采云“不见面”开标大厅。</w:t>
      </w:r>
    </w:p>
    <w:p w14:paraId="5CF1D861">
      <w:pPr>
        <w:pStyle w:val="212"/>
        <w:keepNext/>
        <w:keepLines/>
        <w:pageBreakBefore w:val="0"/>
        <w:widowControl/>
        <w:spacing w:before="100" w:beforeAutospacing="0" w:after="100" w:afterAutospacing="0" w:line="240" w:lineRule="auto"/>
        <w:ind w:firstLine="482"/>
        <w:jc w:val="both"/>
        <w:rPr>
          <w:rFonts w:hint="eastAsia" w:ascii="宋体" w:hAnsi="宋体" w:eastAsia="宋体" w:cs="宋体"/>
          <w:b/>
          <w:color w:val="000000"/>
          <w:sz w:val="24"/>
          <w:szCs w:val="24"/>
          <w:highlight w:val="none"/>
          <w:shd w:val="clear" w:color="auto" w:fill="auto"/>
        </w:rPr>
      </w:pPr>
      <w:bookmarkStart w:id="22" w:name="_Toc38985268"/>
      <w:bookmarkStart w:id="23" w:name="_Toc35393626"/>
      <w:bookmarkStart w:id="24" w:name="_Toc35393795"/>
      <w:r>
        <w:rPr>
          <w:rFonts w:hint="eastAsia" w:ascii="宋体" w:hAnsi="宋体" w:eastAsia="宋体" w:cs="宋体"/>
          <w:b/>
          <w:color w:val="000000"/>
          <w:sz w:val="24"/>
          <w:szCs w:val="24"/>
          <w:highlight w:val="none"/>
          <w:shd w:val="clear" w:color="auto" w:fill="auto"/>
        </w:rPr>
        <w:t>五、开启</w:t>
      </w:r>
    </w:p>
    <w:p w14:paraId="1D734B41">
      <w:pPr>
        <w:pStyle w:val="212"/>
        <w:keepNext w:val="0"/>
        <w:keepLines w:val="0"/>
        <w:pageBreakBefore w:val="0"/>
        <w:widowControl/>
        <w:spacing w:beforeAutospacing="0" w:afterAutospacing="0" w:line="380" w:lineRule="exact"/>
        <w:ind w:firstLine="482"/>
        <w:jc w:val="both"/>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1.时间：</w:t>
      </w:r>
      <w:r>
        <w:rPr>
          <w:rFonts w:hint="eastAsia" w:cs="宋体"/>
          <w:color w:val="000000"/>
          <w:sz w:val="24"/>
          <w:szCs w:val="24"/>
          <w:highlight w:val="none"/>
          <w:shd w:val="clear" w:color="auto" w:fill="auto"/>
          <w:lang w:val="en-US" w:eastAsia="zh-CN"/>
        </w:rPr>
        <w:t>2025年12月30日15点00分</w:t>
      </w:r>
      <w:r>
        <w:rPr>
          <w:rFonts w:hint="eastAsia" w:ascii="宋体" w:hAnsi="宋体" w:eastAsia="宋体" w:cs="宋体"/>
          <w:color w:val="000000"/>
          <w:sz w:val="24"/>
          <w:szCs w:val="24"/>
          <w:highlight w:val="none"/>
          <w:shd w:val="clear" w:color="auto" w:fill="auto"/>
          <w:lang w:val="en-US" w:eastAsia="zh-CN"/>
        </w:rPr>
        <w:t>（北京时间）。</w:t>
      </w:r>
      <w:bookmarkEnd w:id="22"/>
      <w:bookmarkEnd w:id="23"/>
      <w:bookmarkEnd w:id="24"/>
    </w:p>
    <w:p w14:paraId="2DD1DD1B">
      <w:pPr>
        <w:pStyle w:val="212"/>
        <w:keepNext w:val="0"/>
        <w:keepLines w:val="0"/>
        <w:pageBreakBefore w:val="0"/>
        <w:widowControl/>
        <w:spacing w:beforeAutospacing="0" w:afterAutospacing="0" w:line="380" w:lineRule="exact"/>
        <w:ind w:firstLine="482"/>
        <w:jc w:val="both"/>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2.地点：苏采云“不见面”开标大厅 。</w:t>
      </w:r>
    </w:p>
    <w:p w14:paraId="29B17615">
      <w:pPr>
        <w:pStyle w:val="212"/>
        <w:keepNext/>
        <w:keepLines/>
        <w:pageBreakBefore w:val="0"/>
        <w:widowControl/>
        <w:spacing w:before="100" w:beforeAutospacing="0" w:after="100" w:afterAutospacing="0" w:line="240" w:lineRule="auto"/>
        <w:ind w:firstLine="482"/>
        <w:jc w:val="both"/>
        <w:rPr>
          <w:rFonts w:hint="eastAsia" w:ascii="宋体" w:hAnsi="宋体" w:eastAsia="宋体" w:cs="宋体"/>
          <w:b/>
          <w:color w:val="000000"/>
          <w:sz w:val="24"/>
          <w:szCs w:val="24"/>
          <w:highlight w:val="none"/>
          <w:shd w:val="clear" w:color="auto" w:fill="auto"/>
          <w:lang w:val="en-US" w:eastAsia="zh-CN"/>
        </w:rPr>
      </w:pPr>
      <w:bookmarkStart w:id="25" w:name="_Toc28359094"/>
      <w:r>
        <w:rPr>
          <w:rFonts w:hint="eastAsia" w:ascii="宋体" w:hAnsi="宋体" w:eastAsia="宋体" w:cs="宋体"/>
          <w:b/>
          <w:color w:val="000000"/>
          <w:sz w:val="24"/>
          <w:szCs w:val="24"/>
          <w:highlight w:val="none"/>
          <w:shd w:val="clear" w:color="auto" w:fill="auto"/>
          <w:lang w:val="en-US" w:eastAsia="zh-CN"/>
        </w:rPr>
        <w:t>六、公告期限</w:t>
      </w:r>
      <w:bookmarkEnd w:id="25"/>
    </w:p>
    <w:p w14:paraId="24BCDE39">
      <w:pPr>
        <w:pStyle w:val="212"/>
        <w:keepNext w:val="0"/>
        <w:keepLines w:val="0"/>
        <w:pageBreakBefore w:val="0"/>
        <w:widowControl/>
        <w:spacing w:beforeAutospacing="0" w:afterAutospacing="0" w:line="380" w:lineRule="exact"/>
        <w:ind w:firstLine="482"/>
        <w:jc w:val="both"/>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自本公告发布之日起3个工作日。</w:t>
      </w:r>
    </w:p>
    <w:p w14:paraId="646E10BA">
      <w:pPr>
        <w:pStyle w:val="212"/>
        <w:keepNext/>
        <w:keepLines/>
        <w:pageBreakBefore w:val="0"/>
        <w:widowControl/>
        <w:spacing w:before="100" w:beforeAutospacing="0" w:after="100" w:afterAutospacing="0" w:line="240" w:lineRule="auto"/>
        <w:ind w:firstLine="482"/>
        <w:jc w:val="both"/>
        <w:rPr>
          <w:rFonts w:hint="eastAsia" w:ascii="宋体" w:hAnsi="宋体" w:eastAsia="宋体" w:cs="宋体"/>
          <w:b/>
          <w:color w:val="000000"/>
          <w:sz w:val="24"/>
          <w:szCs w:val="24"/>
          <w:highlight w:val="none"/>
          <w:shd w:val="clear" w:color="auto" w:fill="auto"/>
        </w:rPr>
      </w:pPr>
      <w:r>
        <w:rPr>
          <w:rFonts w:hint="eastAsia" w:ascii="宋体" w:hAnsi="宋体" w:eastAsia="宋体" w:cs="宋体"/>
          <w:b/>
          <w:color w:val="000000"/>
          <w:sz w:val="24"/>
          <w:szCs w:val="24"/>
          <w:highlight w:val="none"/>
          <w:shd w:val="clear" w:color="auto" w:fill="auto"/>
          <w:lang w:val="en-US" w:eastAsia="zh-CN"/>
        </w:rPr>
        <w:t>七、</w:t>
      </w:r>
      <w:r>
        <w:rPr>
          <w:rFonts w:hint="eastAsia" w:ascii="宋体" w:hAnsi="宋体" w:eastAsia="宋体" w:cs="宋体"/>
          <w:b/>
          <w:color w:val="000000"/>
          <w:sz w:val="24"/>
          <w:szCs w:val="24"/>
          <w:highlight w:val="none"/>
          <w:shd w:val="clear" w:color="auto" w:fill="auto"/>
        </w:rPr>
        <w:t>其他补充事宜</w:t>
      </w:r>
      <w:bookmarkStart w:id="26" w:name="_Toc28359018"/>
    </w:p>
    <w:p w14:paraId="36A3ECF0">
      <w:pPr>
        <w:pStyle w:val="212"/>
        <w:keepNext w:val="0"/>
        <w:keepLines w:val="0"/>
        <w:pageBreakBefore w:val="0"/>
        <w:widowControl/>
        <w:spacing w:beforeAutospacing="0" w:afterAutospacing="0" w:line="380" w:lineRule="exact"/>
        <w:ind w:firstLine="482"/>
        <w:jc w:val="both"/>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在盐城市政府采购网点击【办事指南】-【供应商参与政府采购活动相关资料】。 </w:t>
      </w:r>
    </w:p>
    <w:p w14:paraId="6132B2F2">
      <w:pPr>
        <w:pStyle w:val="212"/>
        <w:keepNext w:val="0"/>
        <w:keepLines w:val="0"/>
        <w:pageBreakBefore w:val="0"/>
        <w:widowControl/>
        <w:spacing w:beforeAutospacing="0" w:afterAutospacing="0" w:line="380" w:lineRule="exact"/>
        <w:ind w:firstLine="482"/>
        <w:jc w:val="both"/>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领取CA和办理电子签章（请至亭湖区政务服务中心二楼226窗口办理，联系电话：15051556883，办理邮箱：yancheng@ideabank.net.cn，具体联系方式见《苏采云系统供应商操作手册》（以下简称《操作手册》））、进行注册并按《操作手册》要求制作、上传电子响应文件,《苏采云系统供应商操作手册》：在盐城市政府采购网点击【办事指南】-【供应商参与政府采购活动相关资料】。</w:t>
      </w:r>
    </w:p>
    <w:p w14:paraId="6E464B35">
      <w:pPr>
        <w:pStyle w:val="212"/>
        <w:keepNext w:val="0"/>
        <w:keepLines w:val="0"/>
        <w:pageBreakBefore w:val="0"/>
        <w:widowControl/>
        <w:spacing w:beforeAutospacing="0" w:afterAutospacing="0" w:line="380" w:lineRule="exact"/>
        <w:ind w:firstLine="482"/>
        <w:jc w:val="both"/>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2.潜在供应商访问电子招标响应交易平台的网络地址和方法： </w:t>
      </w:r>
    </w:p>
    <w:p w14:paraId="133BD4EC">
      <w:pPr>
        <w:pStyle w:val="212"/>
        <w:keepNext w:val="0"/>
        <w:keepLines w:val="0"/>
        <w:pageBreakBefore w:val="0"/>
        <w:widowControl/>
        <w:spacing w:beforeAutospacing="0" w:afterAutospacing="0" w:line="380" w:lineRule="exact"/>
        <w:ind w:firstLine="482"/>
        <w:jc w:val="both"/>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2.1“苏采云”系统用户注册--获取“CA 数字证书”--CA 绑定与登录--参与投 标--下载询价文件（后缀名为“.kedt”）--将后缀名为“.kedt”的询价文件导入政府采购客户端工具--制作响应文件--导出加密的响应文件（后缀名为 zip）--通过“苏采云”系统上传响应文件。具体见《“苏采云”系统供应商操作手册》 （手册下载地址：苏采云系统-右侧消息通知栏）。 </w:t>
      </w:r>
    </w:p>
    <w:p w14:paraId="193BC813">
      <w:pPr>
        <w:pStyle w:val="212"/>
        <w:keepNext w:val="0"/>
        <w:keepLines w:val="0"/>
        <w:pageBreakBefore w:val="0"/>
        <w:widowControl/>
        <w:spacing w:beforeAutospacing="0" w:afterAutospacing="0" w:line="380" w:lineRule="exact"/>
        <w:ind w:firstLine="482"/>
        <w:jc w:val="both"/>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2.2 潜在投标人访问“苏采云”系统方法：江苏省政府采购网首页-“苏采云”链接。 </w:t>
      </w:r>
    </w:p>
    <w:p w14:paraId="2148A27F">
      <w:pPr>
        <w:pStyle w:val="212"/>
        <w:keepNext w:val="0"/>
        <w:keepLines w:val="0"/>
        <w:pageBreakBefore w:val="0"/>
        <w:widowControl/>
        <w:spacing w:beforeAutospacing="0" w:afterAutospacing="0" w:line="380" w:lineRule="exact"/>
        <w:ind w:firstLine="482"/>
        <w:jc w:val="both"/>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2.3 询价文件（后缀名为“.kedt”）、供应商操作手册及政府采购客户端 工具可通过“苏采云”系统相应链接进行下载。 </w:t>
      </w:r>
    </w:p>
    <w:p w14:paraId="26459BF0">
      <w:pPr>
        <w:pStyle w:val="212"/>
        <w:keepNext w:val="0"/>
        <w:keepLines w:val="0"/>
        <w:pageBreakBefore w:val="0"/>
        <w:widowControl/>
        <w:spacing w:beforeAutospacing="0" w:afterAutospacing="0" w:line="380" w:lineRule="exact"/>
        <w:ind w:firstLine="482"/>
        <w:jc w:val="both"/>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2.4 采购代理机构将数据电文形式的询价文件加载至“苏采云”系统，供潜在供应商下载或者查阅。 </w:t>
      </w:r>
    </w:p>
    <w:p w14:paraId="29D91E24">
      <w:pPr>
        <w:pStyle w:val="212"/>
        <w:keepNext w:val="0"/>
        <w:keepLines w:val="0"/>
        <w:pageBreakBefore w:val="0"/>
        <w:widowControl/>
        <w:spacing w:beforeAutospacing="0" w:afterAutospacing="0" w:line="380" w:lineRule="exact"/>
        <w:ind w:firstLine="482"/>
        <w:jc w:val="both"/>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2.5 请潜在投标单位提前安装相应的控件（详见《“苏采云”系统供应商操作手册》）并使用谷歌浏览器登录“苏采云”系统参与不见面开评标。 </w:t>
      </w:r>
    </w:p>
    <w:p w14:paraId="696819BC">
      <w:pPr>
        <w:pStyle w:val="212"/>
        <w:keepNext w:val="0"/>
        <w:keepLines w:val="0"/>
        <w:pageBreakBefore w:val="0"/>
        <w:widowControl/>
        <w:spacing w:beforeAutospacing="0" w:afterAutospacing="0" w:line="380" w:lineRule="exact"/>
        <w:ind w:firstLine="482"/>
        <w:jc w:val="both"/>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如潜在投标人未按上述要求操作，将自行承担所产生的风险。</w:t>
      </w:r>
    </w:p>
    <w:p w14:paraId="53CD8822">
      <w:pPr>
        <w:pStyle w:val="212"/>
        <w:keepNext w:val="0"/>
        <w:keepLines w:val="0"/>
        <w:pageBreakBefore w:val="0"/>
        <w:widowControl/>
        <w:spacing w:beforeAutospacing="0" w:afterAutospacing="0" w:line="380" w:lineRule="exact"/>
        <w:ind w:firstLine="482"/>
        <w:jc w:val="both"/>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3. 有关本次询价的事项若存在变动或修改，敬请及时关注在“中国政府采购网”、“江苏政府采购网”、“盐城市政府采购网”、</w:t>
      </w:r>
      <w:r>
        <w:rPr>
          <w:rFonts w:hint="eastAsia" w:ascii="宋体" w:hAnsi="宋体" w:eastAsia="宋体" w:cs="宋体"/>
          <w:color w:val="333333"/>
          <w:sz w:val="24"/>
          <w:szCs w:val="24"/>
          <w:shd w:val="clear" w:color="auto" w:fill="FFFFFF"/>
          <w:lang w:eastAsia="zh-CN"/>
        </w:rPr>
        <w:t>“阜宁县公共资源</w:t>
      </w:r>
      <w:r>
        <w:rPr>
          <w:rFonts w:hint="eastAsia" w:ascii="宋体" w:hAnsi="宋体" w:eastAsia="宋体" w:cs="宋体"/>
          <w:color w:val="333333"/>
          <w:sz w:val="24"/>
          <w:szCs w:val="24"/>
          <w:shd w:val="clear" w:color="auto" w:fill="FFFFFF"/>
          <w:lang w:val="en-US" w:eastAsia="zh-CN"/>
        </w:rPr>
        <w:t>电子化</w:t>
      </w:r>
      <w:r>
        <w:rPr>
          <w:rFonts w:hint="eastAsia" w:ascii="宋体" w:hAnsi="宋体" w:eastAsia="宋体" w:cs="宋体"/>
          <w:color w:val="333333"/>
          <w:sz w:val="24"/>
          <w:szCs w:val="24"/>
          <w:shd w:val="clear" w:color="auto" w:fill="FFFFFF"/>
          <w:lang w:eastAsia="zh-CN"/>
        </w:rPr>
        <w:t>服务平台”</w:t>
      </w:r>
      <w:r>
        <w:rPr>
          <w:rFonts w:hint="eastAsia" w:ascii="宋体" w:hAnsi="宋体" w:eastAsia="宋体" w:cs="宋体"/>
          <w:color w:val="000000"/>
          <w:sz w:val="24"/>
          <w:szCs w:val="24"/>
          <w:highlight w:val="none"/>
          <w:shd w:val="clear" w:color="auto" w:fill="auto"/>
          <w:lang w:val="en-US" w:eastAsia="zh-CN"/>
        </w:rPr>
        <w:t>发布的更正公告。</w:t>
      </w:r>
    </w:p>
    <w:p w14:paraId="7E7DCDC1">
      <w:pPr>
        <w:pStyle w:val="212"/>
        <w:keepNext w:val="0"/>
        <w:keepLines w:val="0"/>
        <w:pageBreakBefore w:val="0"/>
        <w:widowControl/>
        <w:spacing w:beforeAutospacing="0" w:afterAutospacing="0" w:line="380" w:lineRule="exact"/>
        <w:ind w:firstLine="482"/>
        <w:jc w:val="both"/>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4. 本次询价不收取询价保证金，不收取质量保证金。</w:t>
      </w:r>
    </w:p>
    <w:p w14:paraId="57B3410B">
      <w:pPr>
        <w:pStyle w:val="212"/>
        <w:keepNext w:val="0"/>
        <w:keepLines w:val="0"/>
        <w:pageBreakBefore w:val="0"/>
        <w:widowControl/>
        <w:spacing w:beforeAutospacing="0" w:afterAutospacing="0" w:line="380" w:lineRule="exact"/>
        <w:ind w:firstLine="482"/>
        <w:jc w:val="both"/>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5.采购项目需要落实的政府采购政策：</w:t>
      </w:r>
    </w:p>
    <w:p w14:paraId="2F287C2C">
      <w:pPr>
        <w:pStyle w:val="212"/>
        <w:keepNext w:val="0"/>
        <w:keepLines w:val="0"/>
        <w:pageBreakBefore w:val="0"/>
        <w:widowControl/>
        <w:spacing w:beforeAutospacing="0" w:afterAutospacing="0" w:line="380" w:lineRule="exact"/>
        <w:ind w:firstLine="482"/>
        <w:jc w:val="both"/>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5.1 政府采购促进中小企业发展</w:t>
      </w:r>
    </w:p>
    <w:p w14:paraId="46832DF2">
      <w:pPr>
        <w:pStyle w:val="212"/>
        <w:keepNext w:val="0"/>
        <w:keepLines w:val="0"/>
        <w:pageBreakBefore w:val="0"/>
        <w:widowControl/>
        <w:spacing w:beforeAutospacing="0" w:afterAutospacing="0" w:line="380" w:lineRule="exact"/>
        <w:ind w:firstLine="482"/>
        <w:jc w:val="both"/>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5.2 政府采购支持监狱企业发展</w:t>
      </w:r>
    </w:p>
    <w:p w14:paraId="38ECF94B">
      <w:pPr>
        <w:pStyle w:val="212"/>
        <w:keepNext w:val="0"/>
        <w:keepLines w:val="0"/>
        <w:pageBreakBefore w:val="0"/>
        <w:widowControl/>
        <w:spacing w:beforeAutospacing="0" w:afterAutospacing="0" w:line="380" w:lineRule="exact"/>
        <w:ind w:firstLine="482"/>
        <w:jc w:val="both"/>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5.3 政府采购鼓励节能、环保产品</w:t>
      </w:r>
    </w:p>
    <w:p w14:paraId="6A96514F">
      <w:pPr>
        <w:pStyle w:val="212"/>
        <w:keepNext w:val="0"/>
        <w:keepLines w:val="0"/>
        <w:pageBreakBefore w:val="0"/>
        <w:widowControl/>
        <w:spacing w:beforeAutospacing="0" w:afterAutospacing="0" w:line="380" w:lineRule="exact"/>
        <w:ind w:firstLine="482"/>
        <w:jc w:val="both"/>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5.4促进残疾人就业政府采购政策</w:t>
      </w:r>
    </w:p>
    <w:bookmarkEnd w:id="167"/>
    <w:p w14:paraId="54451051">
      <w:pPr>
        <w:pStyle w:val="187"/>
        <w:keepNext w:val="0"/>
        <w:keepLines w:val="0"/>
        <w:widowControl/>
        <w:suppressLineNumbers w:val="0"/>
        <w:pBdr>
          <w:top w:val="none" w:color="000000" w:sz="0" w:space="0"/>
          <w:left w:val="none" w:color="000000" w:sz="0" w:space="0"/>
          <w:bottom w:val="none" w:color="000000" w:sz="0" w:space="0"/>
          <w:right w:val="none" w:color="000000" w:sz="0" w:space="0"/>
        </w:pBdr>
        <w:shd w:val="clear" w:color="auto" w:fill="FFFFFF"/>
        <w:spacing w:before="0" w:beforeAutospacing="0" w:after="0" w:afterAutospacing="0" w:line="23" w:lineRule="atLeast"/>
        <w:ind w:left="0" w:right="0" w:firstLine="482"/>
        <w:jc w:val="both"/>
        <w:rPr>
          <w:rFonts w:hint="eastAsia" w:ascii="宋体" w:hAnsi="宋体" w:eastAsia="宋体" w:cs="宋体"/>
          <w:b/>
          <w:bCs w:val="0"/>
          <w:color w:val="000000"/>
          <w:sz w:val="24"/>
          <w:szCs w:val="24"/>
          <w:highlight w:val="none"/>
          <w:shd w:val="clear" w:color="auto" w:fill="auto"/>
          <w:lang w:val="en-US" w:eastAsia="zh-CN" w:bidi="ar-SA"/>
        </w:rPr>
      </w:pPr>
      <w:r>
        <w:rPr>
          <w:rFonts w:hint="eastAsia" w:ascii="宋体" w:hAnsi="宋体" w:eastAsia="宋体" w:cs="宋体"/>
          <w:b/>
          <w:bCs w:val="0"/>
          <w:color w:val="000000"/>
          <w:sz w:val="24"/>
          <w:szCs w:val="24"/>
          <w:highlight w:val="none"/>
          <w:shd w:val="clear" w:color="auto" w:fill="auto"/>
          <w:lang w:val="en-US" w:eastAsia="zh-CN" w:bidi="ar-SA"/>
        </w:rPr>
        <w:t>八、凡对本次采购提出询问，请按以下方式联系。</w:t>
      </w:r>
      <w:bookmarkEnd w:id="26"/>
    </w:p>
    <w:p w14:paraId="638659DD">
      <w:pPr>
        <w:pStyle w:val="212"/>
        <w:keepNext w:val="0"/>
        <w:keepLines w:val="0"/>
        <w:pageBreakBefore w:val="0"/>
        <w:widowControl/>
        <w:spacing w:beforeAutospacing="0" w:afterAutospacing="0" w:line="380" w:lineRule="exact"/>
        <w:ind w:firstLine="482"/>
        <w:jc w:val="both"/>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1.采购人信息</w:t>
      </w:r>
    </w:p>
    <w:p w14:paraId="17396F86">
      <w:pPr>
        <w:pStyle w:val="212"/>
        <w:keepNext w:val="0"/>
        <w:keepLines w:val="0"/>
        <w:pageBreakBefore w:val="0"/>
        <w:widowControl/>
        <w:spacing w:beforeAutospacing="0" w:afterAutospacing="0" w:line="380" w:lineRule="exact"/>
        <w:ind w:firstLine="482"/>
        <w:jc w:val="both"/>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名 称：</w:t>
      </w:r>
      <w:r>
        <w:rPr>
          <w:rFonts w:hint="eastAsia" w:cs="宋体"/>
          <w:color w:val="000000"/>
          <w:sz w:val="24"/>
          <w:szCs w:val="24"/>
          <w:highlight w:val="none"/>
          <w:shd w:val="clear" w:color="auto" w:fill="auto"/>
          <w:lang w:val="en-US" w:eastAsia="zh-CN"/>
        </w:rPr>
        <w:t>阜宁县民政局</w:t>
      </w:r>
    </w:p>
    <w:p w14:paraId="34C9DEE7">
      <w:pPr>
        <w:pStyle w:val="212"/>
        <w:keepNext w:val="0"/>
        <w:keepLines w:val="0"/>
        <w:pageBreakBefore w:val="0"/>
        <w:widowControl/>
        <w:spacing w:beforeAutospacing="0" w:afterAutospacing="0" w:line="380" w:lineRule="exact"/>
        <w:ind w:firstLine="482"/>
        <w:jc w:val="both"/>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地址：</w:t>
      </w:r>
      <w:r>
        <w:rPr>
          <w:rFonts w:hint="eastAsia" w:cs="宋体"/>
          <w:color w:val="000000"/>
          <w:sz w:val="24"/>
          <w:szCs w:val="24"/>
          <w:highlight w:val="none"/>
          <w:shd w:val="clear" w:color="auto" w:fill="auto"/>
          <w:lang w:val="en-US" w:eastAsia="zh-CN"/>
        </w:rPr>
        <w:t>阜宁县城南大厦A座5楼</w:t>
      </w:r>
    </w:p>
    <w:p w14:paraId="5F3DF3D9">
      <w:pPr>
        <w:pStyle w:val="212"/>
        <w:keepNext w:val="0"/>
        <w:keepLines w:val="0"/>
        <w:pageBreakBefore w:val="0"/>
        <w:widowControl/>
        <w:spacing w:beforeAutospacing="0" w:afterAutospacing="0" w:line="380" w:lineRule="exact"/>
        <w:ind w:firstLine="482"/>
        <w:jc w:val="both"/>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联系人：</w:t>
      </w:r>
      <w:r>
        <w:rPr>
          <w:rFonts w:hint="eastAsia" w:cs="宋体"/>
          <w:color w:val="000000"/>
          <w:sz w:val="24"/>
          <w:szCs w:val="24"/>
          <w:highlight w:val="none"/>
          <w:shd w:val="clear" w:color="auto" w:fill="auto"/>
          <w:lang w:val="en-US" w:eastAsia="zh-CN"/>
        </w:rPr>
        <w:t>陈尚进</w:t>
      </w:r>
      <w:r>
        <w:rPr>
          <w:rFonts w:hint="eastAsia" w:ascii="宋体" w:hAnsi="宋体" w:eastAsia="宋体" w:cs="宋体"/>
          <w:color w:val="000000"/>
          <w:sz w:val="24"/>
          <w:szCs w:val="24"/>
          <w:highlight w:val="none"/>
          <w:shd w:val="clear" w:color="auto" w:fill="auto"/>
          <w:lang w:val="en-US" w:eastAsia="zh-CN"/>
        </w:rPr>
        <w:t>，联系方式：</w:t>
      </w:r>
      <w:bookmarkStart w:id="27" w:name="_Toc28359009"/>
      <w:r>
        <w:rPr>
          <w:rFonts w:hint="eastAsia" w:cs="宋体"/>
          <w:color w:val="000000"/>
          <w:sz w:val="24"/>
          <w:szCs w:val="24"/>
          <w:highlight w:val="none"/>
          <w:shd w:val="clear" w:color="auto" w:fill="auto"/>
          <w:lang w:val="en-US" w:eastAsia="zh-CN"/>
        </w:rPr>
        <w:t>13390729713</w:t>
      </w:r>
    </w:p>
    <w:p w14:paraId="3A616670">
      <w:pPr>
        <w:pStyle w:val="212"/>
        <w:keepNext w:val="0"/>
        <w:keepLines w:val="0"/>
        <w:pageBreakBefore w:val="0"/>
        <w:widowControl/>
        <w:spacing w:beforeAutospacing="0" w:afterAutospacing="0" w:line="380" w:lineRule="exact"/>
        <w:ind w:firstLine="482"/>
        <w:jc w:val="both"/>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2.采购代理机构信息</w:t>
      </w:r>
      <w:bookmarkEnd w:id="27"/>
    </w:p>
    <w:p w14:paraId="68FFC433">
      <w:pPr>
        <w:pStyle w:val="212"/>
        <w:keepNext w:val="0"/>
        <w:keepLines w:val="0"/>
        <w:pageBreakBefore w:val="0"/>
        <w:widowControl/>
        <w:spacing w:beforeAutospacing="0" w:afterAutospacing="0" w:line="380" w:lineRule="exact"/>
        <w:ind w:firstLine="482"/>
        <w:jc w:val="both"/>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名 称：</w:t>
      </w:r>
      <w:r>
        <w:rPr>
          <w:rFonts w:hint="eastAsia" w:cs="宋体"/>
          <w:color w:val="000000"/>
          <w:sz w:val="24"/>
          <w:szCs w:val="24"/>
          <w:highlight w:val="none"/>
          <w:shd w:val="clear" w:color="auto" w:fill="auto"/>
          <w:lang w:val="en-US" w:eastAsia="zh-CN"/>
        </w:rPr>
        <w:t>盐城纳斯特项目管理有限公司</w:t>
      </w:r>
    </w:p>
    <w:p w14:paraId="6C353305">
      <w:pPr>
        <w:pStyle w:val="212"/>
        <w:keepNext w:val="0"/>
        <w:keepLines w:val="0"/>
        <w:pageBreakBefore w:val="0"/>
        <w:widowControl/>
        <w:spacing w:beforeAutospacing="0" w:afterAutospacing="0" w:line="380" w:lineRule="exact"/>
        <w:ind w:firstLine="482"/>
        <w:jc w:val="both"/>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地　址：</w:t>
      </w:r>
      <w:r>
        <w:rPr>
          <w:rFonts w:hint="eastAsia" w:cs="宋体"/>
          <w:color w:val="000000"/>
          <w:sz w:val="24"/>
          <w:szCs w:val="24"/>
          <w:highlight w:val="none"/>
          <w:shd w:val="clear" w:color="auto" w:fill="auto"/>
          <w:lang w:val="en-US" w:eastAsia="zh-CN"/>
        </w:rPr>
        <w:t>阜宁县御景濠庭面东门市（天津路370号）</w:t>
      </w:r>
    </w:p>
    <w:p w14:paraId="689FC159">
      <w:pPr>
        <w:pStyle w:val="212"/>
        <w:keepNext w:val="0"/>
        <w:keepLines w:val="0"/>
        <w:pageBreakBefore w:val="0"/>
        <w:widowControl/>
        <w:spacing w:beforeAutospacing="0" w:afterAutospacing="0" w:line="380" w:lineRule="exact"/>
        <w:ind w:firstLine="482"/>
        <w:jc w:val="both"/>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联系人：</w:t>
      </w:r>
      <w:r>
        <w:rPr>
          <w:rFonts w:hint="eastAsia" w:cs="宋体"/>
          <w:color w:val="000000"/>
          <w:sz w:val="24"/>
          <w:szCs w:val="24"/>
          <w:highlight w:val="none"/>
          <w:shd w:val="clear" w:color="auto" w:fill="auto"/>
          <w:lang w:val="en-US" w:eastAsia="zh-CN"/>
        </w:rPr>
        <w:t>孙婷婷</w:t>
      </w:r>
      <w:r>
        <w:rPr>
          <w:rFonts w:hint="eastAsia" w:ascii="宋体" w:hAnsi="宋体" w:eastAsia="宋体" w:cs="宋体"/>
          <w:color w:val="000000"/>
          <w:sz w:val="24"/>
          <w:szCs w:val="24"/>
          <w:highlight w:val="none"/>
          <w:shd w:val="clear" w:color="auto" w:fill="auto"/>
          <w:lang w:val="en-US" w:eastAsia="zh-CN"/>
        </w:rPr>
        <w:t>，联系方式：</w:t>
      </w:r>
      <w:r>
        <w:rPr>
          <w:rFonts w:hint="eastAsia" w:cs="宋体"/>
          <w:color w:val="000000"/>
          <w:sz w:val="24"/>
          <w:szCs w:val="24"/>
          <w:highlight w:val="none"/>
          <w:shd w:val="clear" w:color="auto" w:fill="auto"/>
          <w:lang w:val="en-US" w:eastAsia="zh-CN"/>
        </w:rPr>
        <w:t>18361172266</w:t>
      </w:r>
    </w:p>
    <w:p w14:paraId="68CFE830">
      <w:pPr>
        <w:pStyle w:val="212"/>
        <w:keepNext w:val="0"/>
        <w:keepLines w:val="0"/>
        <w:pageBreakBefore w:val="0"/>
        <w:widowControl/>
        <w:spacing w:beforeAutospacing="0" w:afterAutospacing="0" w:line="380" w:lineRule="exact"/>
        <w:ind w:firstLine="482"/>
        <w:jc w:val="both"/>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3.项目联系方式</w:t>
      </w:r>
    </w:p>
    <w:p w14:paraId="3F86CB01">
      <w:pPr>
        <w:pStyle w:val="212"/>
        <w:keepNext w:val="0"/>
        <w:keepLines w:val="0"/>
        <w:pageBreakBefore w:val="0"/>
        <w:widowControl/>
        <w:spacing w:beforeAutospacing="0" w:afterAutospacing="0" w:line="380" w:lineRule="exact"/>
        <w:ind w:firstLine="482"/>
        <w:jc w:val="both"/>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项目联系人：</w:t>
      </w:r>
      <w:r>
        <w:rPr>
          <w:rFonts w:hint="eastAsia" w:cs="宋体"/>
          <w:color w:val="000000"/>
          <w:sz w:val="24"/>
          <w:szCs w:val="24"/>
          <w:highlight w:val="none"/>
          <w:shd w:val="clear" w:color="auto" w:fill="auto"/>
          <w:lang w:val="en-US" w:eastAsia="zh-CN"/>
        </w:rPr>
        <w:t>陈尚进</w:t>
      </w:r>
      <w:r>
        <w:rPr>
          <w:rFonts w:hint="eastAsia" w:ascii="宋体" w:hAnsi="宋体" w:eastAsia="宋体" w:cs="宋体"/>
          <w:color w:val="000000"/>
          <w:sz w:val="24"/>
          <w:szCs w:val="24"/>
          <w:highlight w:val="none"/>
          <w:shd w:val="clear" w:color="auto" w:fill="auto"/>
          <w:lang w:val="en-US" w:eastAsia="zh-CN"/>
        </w:rPr>
        <w:t xml:space="preserve">     </w:t>
      </w:r>
      <w:r>
        <w:rPr>
          <w:rFonts w:hint="eastAsia" w:cs="宋体"/>
          <w:color w:val="000000"/>
          <w:sz w:val="24"/>
          <w:szCs w:val="24"/>
          <w:highlight w:val="none"/>
          <w:shd w:val="clear" w:color="auto" w:fill="auto"/>
          <w:lang w:val="en-US" w:eastAsia="zh-CN"/>
        </w:rPr>
        <w:t>孙婷婷</w:t>
      </w:r>
    </w:p>
    <w:p w14:paraId="37DB2CFA">
      <w:pPr>
        <w:pStyle w:val="212"/>
        <w:keepNext w:val="0"/>
        <w:keepLines w:val="0"/>
        <w:pageBreakBefore w:val="0"/>
        <w:widowControl/>
        <w:spacing w:beforeAutospacing="0" w:afterAutospacing="0" w:line="380" w:lineRule="exact"/>
        <w:ind w:firstLine="482"/>
        <w:jc w:val="both"/>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电　话：</w:t>
      </w:r>
      <w:r>
        <w:rPr>
          <w:rFonts w:hint="eastAsia" w:cs="宋体"/>
          <w:color w:val="000000"/>
          <w:sz w:val="24"/>
          <w:szCs w:val="24"/>
          <w:highlight w:val="none"/>
          <w:shd w:val="clear" w:color="auto" w:fill="auto"/>
          <w:lang w:val="en-US" w:eastAsia="zh-CN"/>
        </w:rPr>
        <w:t>13390729713</w:t>
      </w:r>
      <w:r>
        <w:rPr>
          <w:rFonts w:hint="eastAsia" w:ascii="宋体" w:hAnsi="宋体" w:eastAsia="宋体" w:cs="宋体"/>
          <w:color w:val="000000"/>
          <w:sz w:val="24"/>
          <w:szCs w:val="24"/>
          <w:highlight w:val="none"/>
          <w:shd w:val="clear" w:color="auto" w:fill="auto"/>
          <w:lang w:val="en-US" w:eastAsia="zh-CN"/>
        </w:rPr>
        <w:t xml:space="preserve">     </w:t>
      </w:r>
      <w:r>
        <w:rPr>
          <w:rFonts w:hint="eastAsia" w:cs="宋体"/>
          <w:color w:val="000000"/>
          <w:sz w:val="24"/>
          <w:szCs w:val="24"/>
          <w:highlight w:val="none"/>
          <w:shd w:val="clear" w:color="auto" w:fill="auto"/>
          <w:lang w:val="en-US" w:eastAsia="zh-CN"/>
        </w:rPr>
        <w:t>18361172266</w:t>
      </w:r>
    </w:p>
    <w:p w14:paraId="3B864754">
      <w:pPr>
        <w:pStyle w:val="212"/>
        <w:keepNext w:val="0"/>
        <w:keepLines w:val="0"/>
        <w:pageBreakBefore w:val="0"/>
        <w:widowControl/>
        <w:spacing w:beforeAutospacing="0" w:afterAutospacing="0" w:line="380" w:lineRule="exact"/>
        <w:ind w:firstLine="482"/>
        <w:jc w:val="right"/>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lang w:val="en-US" w:eastAsia="zh-CN"/>
        </w:rPr>
        <w:t>  </w:t>
      </w:r>
      <w:r>
        <w:rPr>
          <w:rFonts w:hint="eastAsia" w:cs="宋体"/>
          <w:color w:val="000000"/>
          <w:sz w:val="24"/>
          <w:szCs w:val="24"/>
          <w:highlight w:val="none"/>
          <w:shd w:val="clear" w:color="auto" w:fill="auto"/>
          <w:lang w:val="en-US" w:eastAsia="zh-CN"/>
        </w:rPr>
        <w:t>2025年12月23日</w:t>
      </w:r>
      <w:r>
        <w:rPr>
          <w:rFonts w:hint="eastAsia" w:ascii="宋体" w:hAnsi="宋体" w:eastAsia="宋体" w:cs="宋体"/>
          <w:color w:val="000000"/>
          <w:sz w:val="24"/>
          <w:szCs w:val="24"/>
          <w:highlight w:val="none"/>
          <w:shd w:val="clear" w:color="auto" w:fill="auto"/>
        </w:rPr>
        <w:t> </w:t>
      </w:r>
    </w:p>
    <w:p w14:paraId="4ABEF1ED">
      <w:pPr>
        <w:pStyle w:val="212"/>
        <w:keepNext/>
        <w:keepLines/>
        <w:widowControl w:val="0"/>
        <w:spacing w:before="260" w:beforeAutospacing="0" w:after="260" w:afterAutospacing="0" w:line="415" w:lineRule="auto"/>
        <w:jc w:val="center"/>
        <w:rPr>
          <w:color w:val="000000"/>
          <w:highlight w:val="none"/>
          <w:shd w:val="clear" w:color="auto" w:fill="auto"/>
        </w:rPr>
      </w:pPr>
      <w:r>
        <w:rPr>
          <w:rFonts w:eastAsia="黑体"/>
          <w:color w:val="000000"/>
          <w:sz w:val="36"/>
          <w:szCs w:val="36"/>
          <w:highlight w:val="none"/>
          <w:shd w:val="clear" w:color="auto" w:fill="auto"/>
        </w:rPr>
        <w:br w:type="page" w:clear="all"/>
      </w:r>
      <w:bookmarkStart w:id="28" w:name="_Toc120614211"/>
      <w:r>
        <w:rPr>
          <w:rFonts w:hint="eastAsia" w:ascii="黑体" w:eastAsia="黑体" w:cs="黑体"/>
          <w:b/>
          <w:color w:val="000000"/>
          <w:sz w:val="44"/>
          <w:szCs w:val="44"/>
          <w:highlight w:val="none"/>
          <w:shd w:val="clear" w:color="auto" w:fill="auto"/>
        </w:rPr>
        <w:t xml:space="preserve">第二章  </w:t>
      </w:r>
      <w:bookmarkEnd w:id="28"/>
      <w:r>
        <w:rPr>
          <w:rFonts w:hint="eastAsia" w:ascii="黑体" w:eastAsia="黑体" w:cs="黑体"/>
          <w:b/>
          <w:color w:val="000000"/>
          <w:sz w:val="44"/>
          <w:szCs w:val="44"/>
          <w:highlight w:val="none"/>
          <w:shd w:val="clear" w:color="auto" w:fill="auto"/>
        </w:rPr>
        <w:t>供应商须知</w:t>
      </w:r>
    </w:p>
    <w:p w14:paraId="66FBD2C1">
      <w:pPr>
        <w:pStyle w:val="187"/>
        <w:keepNext w:val="0"/>
        <w:keepLines w:val="0"/>
        <w:pageBreakBefore w:val="0"/>
        <w:widowControl/>
        <w:suppressLineNumbers w:val="0"/>
        <w:pBdr>
          <w:top w:val="none" w:color="000000" w:sz="0" w:space="0"/>
          <w:left w:val="none" w:color="000000" w:sz="0" w:space="0"/>
          <w:bottom w:val="none" w:color="000000" w:sz="0" w:space="0"/>
          <w:right w:val="none" w:color="000000" w:sz="0" w:space="0"/>
        </w:pBdr>
        <w:shd w:val="clear" w:color="auto" w:fill="FFFFFF"/>
        <w:spacing w:before="0" w:beforeAutospacing="0" w:after="0" w:afterAutospacing="0" w:line="420" w:lineRule="exact"/>
        <w:ind w:left="0" w:right="0" w:firstLine="482"/>
        <w:jc w:val="both"/>
        <w:rPr>
          <w:rFonts w:hint="eastAsia" w:ascii="宋体" w:hAnsi="宋体" w:eastAsia="宋体" w:cs="宋体"/>
          <w:b/>
          <w:bCs w:val="0"/>
          <w:color w:val="000000"/>
          <w:sz w:val="24"/>
          <w:szCs w:val="24"/>
          <w:highlight w:val="none"/>
          <w:shd w:val="clear" w:color="auto" w:fill="auto"/>
          <w:lang w:val="en-US" w:eastAsia="zh-CN" w:bidi="ar-SA"/>
        </w:rPr>
      </w:pPr>
      <w:bookmarkStart w:id="29" w:name="_Toc513029203"/>
      <w:bookmarkStart w:id="30" w:name="_Toc120614214"/>
      <w:bookmarkStart w:id="31" w:name="_Toc16938519"/>
      <w:bookmarkStart w:id="32" w:name="_Toc20823275"/>
      <w:r>
        <w:rPr>
          <w:rFonts w:hint="eastAsia" w:ascii="宋体" w:hAnsi="宋体" w:eastAsia="宋体" w:cs="宋体"/>
          <w:b/>
          <w:bCs w:val="0"/>
          <w:color w:val="000000"/>
          <w:sz w:val="24"/>
          <w:szCs w:val="24"/>
          <w:highlight w:val="none"/>
          <w:shd w:val="clear" w:color="auto" w:fill="auto"/>
          <w:lang w:val="en-US" w:eastAsia="zh-CN" w:bidi="ar-SA"/>
        </w:rPr>
        <w:t>一、总则</w:t>
      </w:r>
      <w:bookmarkEnd w:id="29"/>
      <w:bookmarkEnd w:id="30"/>
      <w:bookmarkEnd w:id="31"/>
      <w:bookmarkEnd w:id="32"/>
    </w:p>
    <w:p w14:paraId="238718B8">
      <w:pPr>
        <w:pStyle w:val="212"/>
        <w:keepNext w:val="0"/>
        <w:keepLines w:val="0"/>
        <w:pageBreakBefore w:val="0"/>
        <w:widowControl w:val="0"/>
        <w:spacing w:before="0" w:beforeAutospacing="0" w:after="0" w:afterAutospacing="0" w:line="420" w:lineRule="exact"/>
        <w:ind w:firstLine="420"/>
        <w:jc w:val="both"/>
        <w:rPr>
          <w:rFonts w:hint="eastAsia" w:ascii="宋体" w:hAnsi="宋体" w:eastAsia="宋体" w:cs="宋体"/>
          <w:color w:val="000000"/>
          <w:sz w:val="24"/>
          <w:szCs w:val="24"/>
          <w:highlight w:val="none"/>
          <w:shd w:val="clear" w:color="auto" w:fill="auto"/>
          <w:lang w:val="en-US" w:eastAsia="zh-CN"/>
        </w:rPr>
      </w:pPr>
      <w:bookmarkStart w:id="33" w:name="_Toc20823276"/>
      <w:bookmarkStart w:id="34" w:name="_Toc513029204"/>
      <w:bookmarkStart w:id="35" w:name="_Toc16938520"/>
      <w:bookmarkStart w:id="36" w:name="_Toc458694821"/>
      <w:r>
        <w:rPr>
          <w:rFonts w:hint="eastAsia" w:ascii="宋体" w:hAnsi="宋体" w:eastAsia="宋体" w:cs="宋体"/>
          <w:color w:val="000000"/>
          <w:sz w:val="24"/>
          <w:szCs w:val="24"/>
          <w:highlight w:val="none"/>
          <w:shd w:val="clear" w:color="auto" w:fill="auto"/>
          <w:lang w:val="en-US" w:eastAsia="zh-CN"/>
        </w:rPr>
        <w:t>1</w:t>
      </w:r>
      <w:bookmarkEnd w:id="33"/>
      <w:r>
        <w:rPr>
          <w:rFonts w:hint="eastAsia" w:ascii="宋体" w:hAnsi="宋体" w:eastAsia="宋体" w:cs="宋体"/>
          <w:color w:val="000000"/>
          <w:sz w:val="24"/>
          <w:szCs w:val="24"/>
          <w:highlight w:val="none"/>
          <w:shd w:val="clear" w:color="auto" w:fill="auto"/>
          <w:lang w:val="en-US" w:eastAsia="zh-CN"/>
        </w:rPr>
        <w:t>、采购方式</w:t>
      </w:r>
      <w:bookmarkEnd w:id="34"/>
      <w:bookmarkEnd w:id="35"/>
      <w:bookmarkEnd w:id="36"/>
    </w:p>
    <w:p w14:paraId="46458924">
      <w:pPr>
        <w:pStyle w:val="212"/>
        <w:keepNext w:val="0"/>
        <w:keepLines w:val="0"/>
        <w:pageBreakBefore w:val="0"/>
        <w:widowControl w:val="0"/>
        <w:spacing w:before="0" w:beforeAutospacing="0" w:after="0" w:afterAutospacing="0" w:line="420" w:lineRule="exact"/>
        <w:ind w:firstLine="420"/>
        <w:jc w:val="both"/>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1.1 本次政府采购活动采取竞争性询价(以下简称询价)方式，本询价文件仅适用于询价公告中所述项目。</w:t>
      </w:r>
    </w:p>
    <w:p w14:paraId="721271AB">
      <w:pPr>
        <w:pStyle w:val="212"/>
        <w:keepNext w:val="0"/>
        <w:keepLines w:val="0"/>
        <w:pageBreakBefore w:val="0"/>
        <w:widowControl w:val="0"/>
        <w:spacing w:before="0" w:beforeAutospacing="0" w:after="0" w:afterAutospacing="0" w:line="420" w:lineRule="exact"/>
        <w:ind w:firstLine="420"/>
        <w:jc w:val="both"/>
        <w:rPr>
          <w:rFonts w:hint="eastAsia" w:ascii="宋体" w:hAnsi="宋体" w:eastAsia="宋体" w:cs="宋体"/>
          <w:color w:val="000000"/>
          <w:sz w:val="24"/>
          <w:szCs w:val="24"/>
          <w:highlight w:val="none"/>
          <w:shd w:val="clear" w:color="auto" w:fill="auto"/>
          <w:lang w:val="en-US" w:eastAsia="zh-CN"/>
        </w:rPr>
      </w:pPr>
      <w:bookmarkStart w:id="37" w:name="_Toc16938521"/>
      <w:bookmarkStart w:id="38" w:name="_Toc513029205"/>
      <w:bookmarkStart w:id="39" w:name="_Toc20823277"/>
      <w:r>
        <w:rPr>
          <w:rFonts w:hint="eastAsia" w:ascii="宋体" w:hAnsi="宋体" w:eastAsia="宋体" w:cs="宋体"/>
          <w:color w:val="000000"/>
          <w:sz w:val="24"/>
          <w:szCs w:val="24"/>
          <w:highlight w:val="none"/>
          <w:shd w:val="clear" w:color="auto" w:fill="auto"/>
          <w:lang w:val="en-US" w:eastAsia="zh-CN"/>
        </w:rPr>
        <w:t>2、合格的</w:t>
      </w:r>
      <w:bookmarkEnd w:id="37"/>
      <w:bookmarkEnd w:id="38"/>
      <w:bookmarkEnd w:id="39"/>
      <w:r>
        <w:rPr>
          <w:rFonts w:hint="eastAsia" w:ascii="宋体" w:hAnsi="宋体" w:eastAsia="宋体" w:cs="宋体"/>
          <w:color w:val="000000"/>
          <w:sz w:val="24"/>
          <w:szCs w:val="24"/>
          <w:highlight w:val="none"/>
          <w:shd w:val="clear" w:color="auto" w:fill="auto"/>
          <w:lang w:val="en-US" w:eastAsia="zh-CN"/>
        </w:rPr>
        <w:t>供应商</w:t>
      </w:r>
    </w:p>
    <w:p w14:paraId="2983656F">
      <w:pPr>
        <w:pStyle w:val="212"/>
        <w:keepNext w:val="0"/>
        <w:keepLines w:val="0"/>
        <w:pageBreakBefore w:val="0"/>
        <w:widowControl w:val="0"/>
        <w:spacing w:before="0" w:beforeAutospacing="0" w:after="0" w:afterAutospacing="0" w:line="420" w:lineRule="exact"/>
        <w:ind w:firstLine="420"/>
        <w:jc w:val="both"/>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2.1满足询价公告中供应商资格要求的规定。</w:t>
      </w:r>
    </w:p>
    <w:p w14:paraId="2703D653">
      <w:pPr>
        <w:pStyle w:val="212"/>
        <w:keepNext w:val="0"/>
        <w:keepLines w:val="0"/>
        <w:pageBreakBefore w:val="0"/>
        <w:widowControl w:val="0"/>
        <w:spacing w:before="0" w:beforeAutospacing="0" w:after="0" w:afterAutospacing="0" w:line="420" w:lineRule="exact"/>
        <w:ind w:firstLine="420"/>
        <w:jc w:val="both"/>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2.2 满足本询价文件实质性要求和条件的规定。</w:t>
      </w:r>
    </w:p>
    <w:p w14:paraId="313FF4D5">
      <w:pPr>
        <w:pStyle w:val="212"/>
        <w:keepNext w:val="0"/>
        <w:keepLines w:val="0"/>
        <w:pageBreakBefore w:val="0"/>
        <w:widowControl w:val="0"/>
        <w:spacing w:before="0" w:beforeAutospacing="0" w:after="0" w:afterAutospacing="0" w:line="420" w:lineRule="exact"/>
        <w:ind w:firstLine="420"/>
        <w:jc w:val="both"/>
        <w:rPr>
          <w:rFonts w:hint="eastAsia" w:ascii="宋体" w:hAnsi="宋体" w:eastAsia="宋体" w:cs="宋体"/>
          <w:color w:val="000000"/>
          <w:sz w:val="24"/>
          <w:szCs w:val="24"/>
          <w:highlight w:val="none"/>
          <w:shd w:val="clear" w:color="auto" w:fill="auto"/>
          <w:lang w:val="en-US" w:eastAsia="zh-CN"/>
        </w:rPr>
      </w:pPr>
      <w:bookmarkStart w:id="40" w:name="_Toc16938522"/>
      <w:bookmarkStart w:id="41" w:name="_Toc513029206"/>
      <w:bookmarkStart w:id="42" w:name="_Toc20823278"/>
      <w:r>
        <w:rPr>
          <w:rFonts w:hint="eastAsia" w:ascii="宋体" w:hAnsi="宋体" w:eastAsia="宋体" w:cs="宋体"/>
          <w:color w:val="000000"/>
          <w:sz w:val="24"/>
          <w:szCs w:val="24"/>
          <w:highlight w:val="none"/>
          <w:shd w:val="clear" w:color="auto" w:fill="auto"/>
          <w:lang w:val="en-US" w:eastAsia="zh-CN"/>
        </w:rPr>
        <w:t>3、适用法律</w:t>
      </w:r>
      <w:bookmarkEnd w:id="40"/>
      <w:bookmarkEnd w:id="41"/>
      <w:bookmarkEnd w:id="42"/>
    </w:p>
    <w:p w14:paraId="3EE2E095">
      <w:pPr>
        <w:pStyle w:val="212"/>
        <w:keepNext w:val="0"/>
        <w:keepLines w:val="0"/>
        <w:pageBreakBefore w:val="0"/>
        <w:widowControl w:val="0"/>
        <w:spacing w:before="0" w:beforeAutospacing="0" w:after="0" w:afterAutospacing="0" w:line="420" w:lineRule="exact"/>
        <w:ind w:firstLine="420"/>
        <w:jc w:val="both"/>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3.1 本次询价及由此产生的合同受中华人民共和国有关的法律法规制约和保护。</w:t>
      </w:r>
    </w:p>
    <w:p w14:paraId="364DC449">
      <w:pPr>
        <w:pStyle w:val="212"/>
        <w:keepNext w:val="0"/>
        <w:keepLines w:val="0"/>
        <w:pageBreakBefore w:val="0"/>
        <w:widowControl w:val="0"/>
        <w:spacing w:before="0" w:beforeAutospacing="0" w:after="0" w:afterAutospacing="0" w:line="420" w:lineRule="exact"/>
        <w:ind w:firstLine="420"/>
        <w:jc w:val="both"/>
        <w:rPr>
          <w:rFonts w:hint="eastAsia" w:ascii="宋体" w:hAnsi="宋体" w:eastAsia="宋体" w:cs="宋体"/>
          <w:color w:val="000000"/>
          <w:sz w:val="24"/>
          <w:szCs w:val="24"/>
          <w:highlight w:val="none"/>
          <w:shd w:val="clear" w:color="auto" w:fill="auto"/>
          <w:lang w:val="en-US" w:eastAsia="zh-CN"/>
        </w:rPr>
      </w:pPr>
      <w:bookmarkStart w:id="43" w:name="_Toc20823279"/>
      <w:bookmarkStart w:id="44" w:name="_Toc462564067"/>
      <w:bookmarkStart w:id="45" w:name="_Toc513029207"/>
      <w:bookmarkStart w:id="46" w:name="_Toc16938523"/>
      <w:r>
        <w:rPr>
          <w:rFonts w:hint="eastAsia" w:ascii="宋体" w:hAnsi="宋体" w:eastAsia="宋体" w:cs="宋体"/>
          <w:color w:val="000000"/>
          <w:sz w:val="24"/>
          <w:szCs w:val="24"/>
          <w:highlight w:val="none"/>
          <w:shd w:val="clear" w:color="auto" w:fill="auto"/>
          <w:lang w:val="en-US" w:eastAsia="zh-CN"/>
        </w:rPr>
        <w:t>4、询价费用</w:t>
      </w:r>
      <w:bookmarkEnd w:id="43"/>
      <w:bookmarkEnd w:id="44"/>
      <w:bookmarkEnd w:id="45"/>
      <w:bookmarkEnd w:id="46"/>
    </w:p>
    <w:p w14:paraId="3D12BB0D">
      <w:pPr>
        <w:pStyle w:val="212"/>
        <w:keepNext w:val="0"/>
        <w:keepLines w:val="0"/>
        <w:pageBreakBefore w:val="0"/>
        <w:widowControl w:val="0"/>
        <w:spacing w:before="0" w:beforeAutospacing="0" w:after="0" w:afterAutospacing="0" w:line="420" w:lineRule="exact"/>
        <w:ind w:firstLine="420"/>
        <w:jc w:val="both"/>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4.1供应商应自行承担所有与参加本次询价有关的费用，无论询价过程中的做法和结果如何，招标代理机构在任何情况下均无义务和责任承担这些费用。</w:t>
      </w:r>
    </w:p>
    <w:p w14:paraId="4644BA7B">
      <w:pPr>
        <w:pStyle w:val="212"/>
        <w:keepNext w:val="0"/>
        <w:keepLines w:val="0"/>
        <w:pageBreakBefore w:val="0"/>
        <w:widowControl w:val="0"/>
        <w:spacing w:before="0" w:beforeAutospacing="0" w:after="0" w:afterAutospacing="0" w:line="420" w:lineRule="exact"/>
        <w:ind w:firstLine="420"/>
        <w:jc w:val="both"/>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4.2根据计价格【2002】1980号文件，代理机构将按项目</w:t>
      </w:r>
      <w:r>
        <w:rPr>
          <w:rFonts w:hint="eastAsia" w:cs="宋体"/>
          <w:color w:val="000000"/>
          <w:sz w:val="24"/>
          <w:szCs w:val="24"/>
          <w:highlight w:val="none"/>
          <w:shd w:val="clear" w:color="auto" w:fill="auto"/>
          <w:lang w:val="en-US" w:eastAsia="zh-CN"/>
        </w:rPr>
        <w:t>中标价</w:t>
      </w:r>
      <w:r>
        <w:rPr>
          <w:rFonts w:hint="eastAsia" w:ascii="宋体" w:hAnsi="宋体" w:eastAsia="宋体" w:cs="宋体"/>
          <w:color w:val="000000"/>
          <w:sz w:val="24"/>
          <w:szCs w:val="24"/>
          <w:highlight w:val="none"/>
          <w:shd w:val="clear" w:color="auto" w:fill="auto"/>
          <w:lang w:val="en-US" w:eastAsia="zh-CN"/>
        </w:rPr>
        <w:t>的1.</w:t>
      </w:r>
      <w:r>
        <w:rPr>
          <w:rFonts w:hint="eastAsia" w:cs="宋体"/>
          <w:color w:val="000000"/>
          <w:sz w:val="24"/>
          <w:szCs w:val="24"/>
          <w:highlight w:val="none"/>
          <w:shd w:val="clear" w:color="auto" w:fill="auto"/>
          <w:lang w:val="en-US" w:eastAsia="zh-CN"/>
        </w:rPr>
        <w:t>5</w:t>
      </w:r>
      <w:r>
        <w:rPr>
          <w:rFonts w:hint="eastAsia" w:ascii="宋体" w:hAnsi="宋体" w:eastAsia="宋体" w:cs="宋体"/>
          <w:color w:val="000000"/>
          <w:sz w:val="24"/>
          <w:szCs w:val="24"/>
          <w:highlight w:val="none"/>
          <w:shd w:val="clear" w:color="auto" w:fill="auto"/>
          <w:lang w:val="en-US" w:eastAsia="zh-CN"/>
        </w:rPr>
        <w:t>%向中标人收取服务费用，由中标人在开取中标通知书前一次性支付。</w:t>
      </w:r>
    </w:p>
    <w:p w14:paraId="2E76293A">
      <w:pPr>
        <w:pStyle w:val="212"/>
        <w:keepNext w:val="0"/>
        <w:keepLines w:val="0"/>
        <w:pageBreakBefore w:val="0"/>
        <w:widowControl w:val="0"/>
        <w:spacing w:before="0" w:beforeAutospacing="0" w:after="0" w:afterAutospacing="0" w:line="420" w:lineRule="exact"/>
        <w:ind w:firstLine="420"/>
        <w:jc w:val="both"/>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4.3本次询价招标代理机构和采购人不收取标书工本费与成交服务费。</w:t>
      </w:r>
    </w:p>
    <w:p w14:paraId="4E4863EE">
      <w:pPr>
        <w:pStyle w:val="212"/>
        <w:keepNext w:val="0"/>
        <w:keepLines w:val="0"/>
        <w:pageBreakBefore w:val="0"/>
        <w:widowControl w:val="0"/>
        <w:spacing w:before="0" w:beforeAutospacing="0" w:after="0" w:afterAutospacing="0" w:line="420" w:lineRule="exact"/>
        <w:ind w:firstLine="420"/>
        <w:jc w:val="both"/>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5、询价文件的约束力</w:t>
      </w:r>
    </w:p>
    <w:p w14:paraId="10F3ABFB">
      <w:pPr>
        <w:pStyle w:val="212"/>
        <w:keepNext w:val="0"/>
        <w:keepLines w:val="0"/>
        <w:pageBreakBefore w:val="0"/>
        <w:widowControl w:val="0"/>
        <w:spacing w:before="0" w:beforeAutospacing="0" w:after="0" w:afterAutospacing="0" w:line="420" w:lineRule="exact"/>
        <w:ind w:firstLine="420"/>
        <w:jc w:val="both"/>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5.1供应商一旦参加本项目采购活动，即被认为接受了本询价文件的规定和约束。</w:t>
      </w:r>
    </w:p>
    <w:p w14:paraId="6C419DF2">
      <w:pPr>
        <w:pStyle w:val="187"/>
        <w:keepNext w:val="0"/>
        <w:keepLines w:val="0"/>
        <w:pageBreakBefore w:val="0"/>
        <w:widowControl/>
        <w:suppressLineNumbers w:val="0"/>
        <w:pBdr>
          <w:top w:val="none" w:color="000000" w:sz="0" w:space="0"/>
          <w:left w:val="none" w:color="000000" w:sz="0" w:space="0"/>
          <w:bottom w:val="none" w:color="000000" w:sz="0" w:space="0"/>
          <w:right w:val="none" w:color="000000" w:sz="0" w:space="0"/>
        </w:pBdr>
        <w:shd w:val="clear" w:color="auto" w:fill="FFFFFF"/>
        <w:spacing w:before="0" w:beforeAutospacing="0" w:after="0" w:afterAutospacing="0" w:line="420" w:lineRule="exact"/>
        <w:ind w:left="0" w:right="0" w:firstLine="482"/>
        <w:jc w:val="both"/>
        <w:rPr>
          <w:rFonts w:hint="eastAsia" w:ascii="宋体" w:hAnsi="宋体" w:eastAsia="宋体" w:cs="宋体"/>
          <w:b/>
          <w:bCs w:val="0"/>
          <w:color w:val="000000"/>
          <w:sz w:val="24"/>
          <w:szCs w:val="24"/>
          <w:highlight w:val="none"/>
          <w:shd w:val="clear" w:color="auto" w:fill="auto"/>
          <w:lang w:val="en-US" w:eastAsia="zh-CN" w:bidi="ar-SA"/>
        </w:rPr>
      </w:pPr>
      <w:bookmarkStart w:id="47" w:name="_Toc513029209"/>
      <w:bookmarkStart w:id="48" w:name="_Toc20823281"/>
      <w:bookmarkStart w:id="49" w:name="_Toc120614215"/>
      <w:bookmarkStart w:id="50" w:name="_Toc16938525"/>
      <w:r>
        <w:rPr>
          <w:rFonts w:hint="eastAsia" w:ascii="宋体" w:hAnsi="宋体" w:eastAsia="宋体" w:cs="宋体"/>
          <w:b/>
          <w:bCs w:val="0"/>
          <w:color w:val="000000"/>
          <w:sz w:val="24"/>
          <w:szCs w:val="24"/>
          <w:highlight w:val="none"/>
          <w:shd w:val="clear" w:color="auto" w:fill="auto"/>
          <w:lang w:val="en-US" w:eastAsia="zh-CN" w:bidi="ar-SA"/>
        </w:rPr>
        <w:t>二、</w:t>
      </w:r>
      <w:bookmarkEnd w:id="47"/>
      <w:bookmarkEnd w:id="48"/>
      <w:bookmarkEnd w:id="49"/>
      <w:bookmarkEnd w:id="50"/>
      <w:r>
        <w:rPr>
          <w:rFonts w:hint="eastAsia" w:ascii="宋体" w:hAnsi="宋体" w:eastAsia="宋体" w:cs="宋体"/>
          <w:b/>
          <w:bCs w:val="0"/>
          <w:color w:val="000000"/>
          <w:sz w:val="24"/>
          <w:szCs w:val="24"/>
          <w:highlight w:val="none"/>
          <w:shd w:val="clear" w:color="auto" w:fill="auto"/>
          <w:lang w:val="en-US" w:eastAsia="zh-CN" w:bidi="ar-SA"/>
        </w:rPr>
        <w:t>询价文件</w:t>
      </w:r>
    </w:p>
    <w:p w14:paraId="55834828">
      <w:pPr>
        <w:pStyle w:val="212"/>
        <w:keepNext w:val="0"/>
        <w:keepLines w:val="0"/>
        <w:pageBreakBefore w:val="0"/>
        <w:widowControl w:val="0"/>
        <w:spacing w:before="0" w:beforeAutospacing="0" w:after="0" w:afterAutospacing="0" w:line="420" w:lineRule="exact"/>
        <w:ind w:firstLine="420"/>
        <w:jc w:val="both"/>
        <w:rPr>
          <w:rFonts w:hint="eastAsia" w:ascii="宋体" w:hAnsi="宋体" w:eastAsia="宋体" w:cs="宋体"/>
          <w:color w:val="000000"/>
          <w:sz w:val="24"/>
          <w:szCs w:val="24"/>
          <w:highlight w:val="none"/>
          <w:shd w:val="clear" w:color="auto" w:fill="auto"/>
          <w:lang w:val="en-US" w:eastAsia="zh-CN"/>
        </w:rPr>
      </w:pPr>
      <w:bookmarkStart w:id="51" w:name="_Toc513029210"/>
      <w:bookmarkStart w:id="52" w:name="_Toc20823282"/>
      <w:bookmarkStart w:id="53" w:name="_Toc16938526"/>
      <w:r>
        <w:rPr>
          <w:rFonts w:hint="eastAsia" w:ascii="宋体" w:hAnsi="宋体" w:eastAsia="宋体" w:cs="宋体"/>
          <w:color w:val="000000"/>
          <w:sz w:val="24"/>
          <w:szCs w:val="24"/>
          <w:highlight w:val="none"/>
          <w:shd w:val="clear" w:color="auto" w:fill="auto"/>
          <w:lang w:val="en-US" w:eastAsia="zh-CN"/>
        </w:rPr>
        <w:t>6、询价文件构成</w:t>
      </w:r>
      <w:bookmarkEnd w:id="51"/>
      <w:bookmarkEnd w:id="52"/>
      <w:bookmarkEnd w:id="53"/>
    </w:p>
    <w:p w14:paraId="56B0484C">
      <w:pPr>
        <w:pStyle w:val="212"/>
        <w:keepNext w:val="0"/>
        <w:keepLines w:val="0"/>
        <w:pageBreakBefore w:val="0"/>
        <w:widowControl w:val="0"/>
        <w:spacing w:before="0" w:beforeAutospacing="0" w:after="0" w:afterAutospacing="0" w:line="420" w:lineRule="exact"/>
        <w:ind w:firstLine="420"/>
        <w:jc w:val="both"/>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6.1询价文件由以下部分组成：</w:t>
      </w:r>
    </w:p>
    <w:p w14:paraId="59B532D3">
      <w:pPr>
        <w:pStyle w:val="212"/>
        <w:keepNext w:val="0"/>
        <w:keepLines w:val="0"/>
        <w:pageBreakBefore w:val="0"/>
        <w:widowControl w:val="0"/>
        <w:spacing w:before="0" w:beforeAutospacing="0" w:after="0" w:afterAutospacing="0" w:line="420" w:lineRule="exact"/>
        <w:ind w:firstLine="420"/>
        <w:jc w:val="both"/>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（1）询价公告</w:t>
      </w:r>
    </w:p>
    <w:p w14:paraId="317DC8A8">
      <w:pPr>
        <w:pStyle w:val="212"/>
        <w:keepNext w:val="0"/>
        <w:keepLines w:val="0"/>
        <w:pageBreakBefore w:val="0"/>
        <w:widowControl w:val="0"/>
        <w:spacing w:before="0" w:beforeAutospacing="0" w:after="0" w:afterAutospacing="0" w:line="420" w:lineRule="exact"/>
        <w:ind w:firstLine="420"/>
        <w:jc w:val="both"/>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（2）供应商须知</w:t>
      </w:r>
    </w:p>
    <w:p w14:paraId="48746B0A">
      <w:pPr>
        <w:pStyle w:val="212"/>
        <w:keepNext w:val="0"/>
        <w:keepLines w:val="0"/>
        <w:pageBreakBefore w:val="0"/>
        <w:widowControl w:val="0"/>
        <w:spacing w:before="0" w:beforeAutospacing="0" w:after="0" w:afterAutospacing="0" w:line="420" w:lineRule="exact"/>
        <w:ind w:firstLine="420"/>
        <w:jc w:val="both"/>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（3）合同文本</w:t>
      </w:r>
    </w:p>
    <w:p w14:paraId="2819C1A7">
      <w:pPr>
        <w:pStyle w:val="212"/>
        <w:keepNext w:val="0"/>
        <w:keepLines w:val="0"/>
        <w:pageBreakBefore w:val="0"/>
        <w:widowControl w:val="0"/>
        <w:spacing w:before="0" w:beforeAutospacing="0" w:after="0" w:afterAutospacing="0" w:line="420" w:lineRule="exact"/>
        <w:ind w:firstLine="420"/>
        <w:jc w:val="both"/>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（4）采购需求</w:t>
      </w:r>
    </w:p>
    <w:p w14:paraId="06F2C876">
      <w:pPr>
        <w:pStyle w:val="212"/>
        <w:keepNext w:val="0"/>
        <w:keepLines w:val="0"/>
        <w:pageBreakBefore w:val="0"/>
        <w:widowControl w:val="0"/>
        <w:spacing w:before="0" w:beforeAutospacing="0" w:after="0" w:afterAutospacing="0" w:line="420" w:lineRule="exact"/>
        <w:ind w:firstLine="420"/>
        <w:jc w:val="both"/>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（5）响应文件格式</w:t>
      </w:r>
    </w:p>
    <w:p w14:paraId="4E1607BD">
      <w:pPr>
        <w:pStyle w:val="212"/>
        <w:keepNext w:val="0"/>
        <w:keepLines w:val="0"/>
        <w:pageBreakBefore w:val="0"/>
        <w:widowControl w:val="0"/>
        <w:spacing w:before="0" w:beforeAutospacing="0" w:after="0" w:afterAutospacing="0" w:line="420" w:lineRule="exact"/>
        <w:ind w:firstLine="420"/>
        <w:jc w:val="both"/>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请仔细检查询价文件是否齐全，如有缺漏请立即与采购代理机构联系解决。</w:t>
      </w:r>
    </w:p>
    <w:p w14:paraId="12802B4F">
      <w:pPr>
        <w:pStyle w:val="212"/>
        <w:keepNext w:val="0"/>
        <w:keepLines w:val="0"/>
        <w:pageBreakBefore w:val="0"/>
        <w:widowControl w:val="0"/>
        <w:spacing w:before="0" w:beforeAutospacing="0" w:after="0" w:afterAutospacing="0" w:line="420" w:lineRule="exact"/>
        <w:ind w:firstLine="420"/>
        <w:jc w:val="both"/>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6.2供应商应认真阅读询价文件中所有的事项、格式、条款和规范等要求。按询价文件要求和规定编制响应文件，并保证所提供的全部资料的真实性，以使其响应文件对询价文件作出实质性响应，否则其风险由供应商自行承担。</w:t>
      </w:r>
    </w:p>
    <w:p w14:paraId="1697E1EF">
      <w:pPr>
        <w:pStyle w:val="212"/>
        <w:keepNext w:val="0"/>
        <w:keepLines w:val="0"/>
        <w:pageBreakBefore w:val="0"/>
        <w:widowControl w:val="0"/>
        <w:spacing w:before="0" w:beforeAutospacing="0" w:after="0" w:afterAutospacing="0" w:line="420" w:lineRule="exact"/>
        <w:ind w:firstLine="420"/>
        <w:jc w:val="both"/>
        <w:rPr>
          <w:rFonts w:hint="eastAsia" w:ascii="宋体" w:hAnsi="宋体" w:eastAsia="宋体" w:cs="宋体"/>
          <w:color w:val="000000"/>
          <w:sz w:val="24"/>
          <w:szCs w:val="24"/>
          <w:highlight w:val="none"/>
          <w:shd w:val="clear" w:color="auto" w:fill="auto"/>
          <w:lang w:val="en-US" w:eastAsia="zh-CN"/>
        </w:rPr>
      </w:pPr>
      <w:bookmarkStart w:id="54" w:name="_Toc20823283"/>
      <w:bookmarkStart w:id="55" w:name="_Toc513029211"/>
      <w:bookmarkStart w:id="56" w:name="_Toc16938527"/>
      <w:bookmarkStart w:id="57" w:name="_Toc462564070"/>
      <w:r>
        <w:rPr>
          <w:rFonts w:hint="eastAsia" w:ascii="宋体" w:hAnsi="宋体" w:eastAsia="宋体" w:cs="宋体"/>
          <w:color w:val="000000"/>
          <w:sz w:val="24"/>
          <w:szCs w:val="24"/>
          <w:highlight w:val="none"/>
          <w:shd w:val="clear" w:color="auto" w:fill="auto"/>
          <w:lang w:val="en-US" w:eastAsia="zh-CN"/>
        </w:rPr>
        <w:t>7、询价文件的澄清</w:t>
      </w:r>
      <w:bookmarkEnd w:id="54"/>
      <w:bookmarkEnd w:id="55"/>
      <w:bookmarkEnd w:id="56"/>
      <w:bookmarkEnd w:id="57"/>
    </w:p>
    <w:p w14:paraId="0EB56698">
      <w:pPr>
        <w:pStyle w:val="212"/>
        <w:keepNext w:val="0"/>
        <w:keepLines w:val="0"/>
        <w:pageBreakBefore w:val="0"/>
        <w:widowControl w:val="0"/>
        <w:spacing w:before="0" w:beforeAutospacing="0" w:after="0" w:afterAutospacing="0" w:line="420" w:lineRule="exact"/>
        <w:ind w:firstLine="420"/>
        <w:jc w:val="both"/>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7.1 任何要求对询价文件进行澄清的供应商，应在询价截止期3个工作日前按询价公告中的通讯地址，以书面形式通知</w:t>
      </w:r>
      <w:r>
        <w:rPr>
          <w:rFonts w:hint="eastAsia" w:ascii="宋体" w:hAnsi="宋体" w:cs="宋体"/>
          <w:sz w:val="24"/>
        </w:rPr>
        <w:t>采购人或采购代理机构</w:t>
      </w:r>
      <w:r>
        <w:rPr>
          <w:rFonts w:hint="eastAsia" w:ascii="宋体" w:hAnsi="宋体" w:eastAsia="宋体" w:cs="宋体"/>
          <w:color w:val="000000"/>
          <w:sz w:val="24"/>
          <w:szCs w:val="24"/>
          <w:highlight w:val="none"/>
          <w:shd w:val="clear" w:color="auto" w:fill="auto"/>
          <w:lang w:val="en-US" w:eastAsia="zh-CN"/>
        </w:rPr>
        <w:t>。</w:t>
      </w:r>
    </w:p>
    <w:p w14:paraId="16F074BB">
      <w:pPr>
        <w:pStyle w:val="212"/>
        <w:keepNext w:val="0"/>
        <w:keepLines w:val="0"/>
        <w:pageBreakBefore w:val="0"/>
        <w:widowControl w:val="0"/>
        <w:spacing w:before="0" w:beforeAutospacing="0" w:after="0" w:afterAutospacing="0" w:line="420" w:lineRule="exact"/>
        <w:ind w:firstLine="420"/>
        <w:jc w:val="both"/>
        <w:rPr>
          <w:rFonts w:hint="eastAsia" w:ascii="宋体" w:hAnsi="宋体" w:eastAsia="宋体" w:cs="宋体"/>
          <w:color w:val="000000"/>
          <w:sz w:val="24"/>
          <w:szCs w:val="24"/>
          <w:highlight w:val="none"/>
          <w:shd w:val="clear" w:color="auto" w:fill="auto"/>
          <w:lang w:val="en-US" w:eastAsia="zh-CN"/>
        </w:rPr>
      </w:pPr>
      <w:bookmarkStart w:id="58" w:name="_Toc462564071"/>
      <w:bookmarkStart w:id="59" w:name="_Toc16938528"/>
      <w:bookmarkStart w:id="60" w:name="_Toc20823284"/>
      <w:bookmarkStart w:id="61" w:name="_Toc513029212"/>
      <w:r>
        <w:rPr>
          <w:rFonts w:hint="eastAsia" w:ascii="宋体" w:hAnsi="宋体" w:eastAsia="宋体" w:cs="宋体"/>
          <w:color w:val="000000"/>
          <w:sz w:val="24"/>
          <w:szCs w:val="24"/>
          <w:highlight w:val="none"/>
          <w:shd w:val="clear" w:color="auto" w:fill="auto"/>
          <w:lang w:val="en-US" w:eastAsia="zh-CN"/>
        </w:rPr>
        <w:t>8、询价文件的澄清和修改</w:t>
      </w:r>
      <w:bookmarkEnd w:id="58"/>
      <w:bookmarkEnd w:id="59"/>
      <w:bookmarkEnd w:id="60"/>
      <w:bookmarkEnd w:id="61"/>
    </w:p>
    <w:p w14:paraId="13956154">
      <w:pPr>
        <w:pStyle w:val="212"/>
        <w:keepNext w:val="0"/>
        <w:keepLines w:val="0"/>
        <w:pageBreakBefore w:val="0"/>
        <w:widowControl w:val="0"/>
        <w:spacing w:before="0" w:beforeAutospacing="0" w:after="0" w:afterAutospacing="0" w:line="420" w:lineRule="exact"/>
        <w:ind w:firstLine="420"/>
        <w:jc w:val="both"/>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8.1 在响应文件提交截止时间前，</w:t>
      </w:r>
      <w:r>
        <w:rPr>
          <w:rFonts w:hint="eastAsia" w:ascii="宋体" w:hAnsi="宋体" w:cs="宋体"/>
          <w:sz w:val="24"/>
        </w:rPr>
        <w:t>采购代理机构</w:t>
      </w:r>
      <w:r>
        <w:rPr>
          <w:rFonts w:hint="eastAsia" w:ascii="宋体" w:hAnsi="宋体" w:eastAsia="宋体" w:cs="宋体"/>
          <w:color w:val="000000"/>
          <w:sz w:val="24"/>
          <w:szCs w:val="24"/>
          <w:highlight w:val="none"/>
          <w:shd w:val="clear" w:color="auto" w:fill="auto"/>
          <w:lang w:val="en-US" w:eastAsia="zh-CN"/>
        </w:rPr>
        <w:t>可以对询价文件进行澄清和修改,澄清或者修改的内容作为询价文件的组成部分。澄清或者修改的内容可能影响响应文件编制的，</w:t>
      </w:r>
      <w:r>
        <w:rPr>
          <w:rFonts w:hint="eastAsia" w:ascii="宋体" w:hAnsi="宋体" w:cs="宋体"/>
          <w:sz w:val="24"/>
        </w:rPr>
        <w:t>采购代理机构</w:t>
      </w:r>
      <w:r>
        <w:rPr>
          <w:rFonts w:hint="eastAsia" w:ascii="宋体" w:hAnsi="宋体" w:eastAsia="宋体" w:cs="宋体"/>
          <w:color w:val="000000"/>
          <w:sz w:val="24"/>
          <w:szCs w:val="24"/>
          <w:highlight w:val="none"/>
          <w:shd w:val="clear" w:color="auto" w:fill="auto"/>
          <w:lang w:val="en-US" w:eastAsia="zh-CN"/>
        </w:rPr>
        <w:t>将在提交首次响应文件截止时间至少3个工作日前，在“中国政府采购网”“江苏政府采购网”“盐城市政府采购网”、“</w:t>
      </w:r>
      <w:r>
        <w:rPr>
          <w:rFonts w:hint="eastAsia" w:ascii="宋体" w:hAnsi="宋体" w:eastAsia="宋体" w:cs="宋体"/>
          <w:color w:val="000000"/>
        </w:rPr>
        <w:t>阜宁县公共资源电子化服务平台</w:t>
      </w:r>
      <w:r>
        <w:rPr>
          <w:rFonts w:hint="eastAsia" w:ascii="宋体" w:hAnsi="宋体" w:eastAsia="宋体" w:cs="宋体"/>
          <w:color w:val="000000"/>
          <w:lang w:eastAsia="zh-CN"/>
        </w:rPr>
        <w:t>”</w:t>
      </w:r>
      <w:r>
        <w:rPr>
          <w:rFonts w:hint="eastAsia" w:ascii="宋体" w:hAnsi="宋体" w:eastAsia="宋体" w:cs="宋体"/>
          <w:color w:val="000000"/>
          <w:sz w:val="24"/>
          <w:szCs w:val="24"/>
          <w:highlight w:val="none"/>
          <w:shd w:val="clear" w:color="auto" w:fill="auto"/>
          <w:lang w:val="en-US" w:eastAsia="zh-CN"/>
        </w:rPr>
        <w:t>上发布书面更正公告形式通知所有获取询价文件的供应商, 更正公告内容将作为询价文件的组成部分，并对供应商具有约束力。不足3个工作日的，采购代理机构将顺延提交首次响应文件截止时间。</w:t>
      </w:r>
    </w:p>
    <w:p w14:paraId="2DCF9F24">
      <w:pPr>
        <w:pStyle w:val="212"/>
        <w:keepNext w:val="0"/>
        <w:keepLines w:val="0"/>
        <w:pageBreakBefore w:val="0"/>
        <w:widowControl w:val="0"/>
        <w:spacing w:before="0" w:beforeAutospacing="0" w:after="0" w:afterAutospacing="0" w:line="420" w:lineRule="exact"/>
        <w:ind w:firstLine="420"/>
        <w:jc w:val="both"/>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8.2采购代理机构可以视采购项目的具体情况，组织供应商进行现场考察或召开询价前答疑会，但不单独或分别组织只有一个供应商参加的现场考察和答疑会。</w:t>
      </w:r>
    </w:p>
    <w:p w14:paraId="4AD0F373">
      <w:pPr>
        <w:pStyle w:val="187"/>
        <w:keepNext w:val="0"/>
        <w:keepLines w:val="0"/>
        <w:pageBreakBefore w:val="0"/>
        <w:widowControl/>
        <w:suppressLineNumbers w:val="0"/>
        <w:pBdr>
          <w:top w:val="none" w:color="000000" w:sz="0" w:space="0"/>
          <w:left w:val="none" w:color="000000" w:sz="0" w:space="0"/>
          <w:bottom w:val="none" w:color="000000" w:sz="0" w:space="0"/>
          <w:right w:val="none" w:color="000000" w:sz="0" w:space="0"/>
        </w:pBdr>
        <w:shd w:val="clear" w:color="auto" w:fill="FFFFFF"/>
        <w:spacing w:before="0" w:beforeAutospacing="0" w:after="0" w:afterAutospacing="0" w:line="420" w:lineRule="exact"/>
        <w:ind w:left="0" w:right="0" w:firstLine="482"/>
        <w:jc w:val="both"/>
        <w:rPr>
          <w:rFonts w:hint="eastAsia" w:ascii="宋体" w:hAnsi="宋体" w:eastAsia="宋体" w:cs="宋体"/>
          <w:b/>
          <w:bCs w:val="0"/>
          <w:color w:val="000000"/>
          <w:sz w:val="24"/>
          <w:szCs w:val="24"/>
          <w:highlight w:val="none"/>
          <w:shd w:val="clear" w:color="auto" w:fill="auto"/>
          <w:lang w:val="en-US" w:eastAsia="zh-CN" w:bidi="ar-SA"/>
        </w:rPr>
      </w:pPr>
      <w:bookmarkStart w:id="62" w:name="_Toc462564072"/>
      <w:bookmarkStart w:id="63" w:name="_Toc20823285"/>
      <w:bookmarkStart w:id="64" w:name="_Toc16938529"/>
      <w:bookmarkStart w:id="65" w:name="_Toc120614216"/>
      <w:bookmarkStart w:id="66" w:name="_Toc513029213"/>
      <w:r>
        <w:rPr>
          <w:rFonts w:hint="eastAsia" w:ascii="宋体" w:hAnsi="宋体" w:eastAsia="宋体" w:cs="宋体"/>
          <w:b/>
          <w:bCs w:val="0"/>
          <w:color w:val="000000"/>
          <w:sz w:val="24"/>
          <w:szCs w:val="24"/>
          <w:highlight w:val="none"/>
          <w:shd w:val="clear" w:color="auto" w:fill="auto"/>
          <w:lang w:val="en-US" w:eastAsia="zh-CN" w:bidi="ar-SA"/>
        </w:rPr>
        <w:t>三、响应文件的编制</w:t>
      </w:r>
      <w:bookmarkEnd w:id="62"/>
      <w:bookmarkEnd w:id="63"/>
      <w:bookmarkEnd w:id="64"/>
      <w:bookmarkEnd w:id="65"/>
      <w:bookmarkEnd w:id="66"/>
    </w:p>
    <w:p w14:paraId="7AC3CC6E">
      <w:pPr>
        <w:pStyle w:val="212"/>
        <w:keepNext w:val="0"/>
        <w:keepLines w:val="0"/>
        <w:pageBreakBefore w:val="0"/>
        <w:widowControl w:val="0"/>
        <w:spacing w:before="0" w:beforeAutospacing="0" w:after="0" w:afterAutospacing="0" w:line="420" w:lineRule="exact"/>
        <w:ind w:firstLine="420"/>
        <w:jc w:val="both"/>
        <w:rPr>
          <w:rFonts w:hint="eastAsia" w:ascii="宋体" w:hAnsi="宋体" w:eastAsia="宋体" w:cs="宋体"/>
          <w:color w:val="000000"/>
          <w:sz w:val="24"/>
          <w:szCs w:val="24"/>
          <w:highlight w:val="none"/>
          <w:shd w:val="clear" w:color="auto" w:fill="auto"/>
          <w:lang w:val="en-US" w:eastAsia="zh-CN"/>
        </w:rPr>
      </w:pPr>
      <w:bookmarkStart w:id="67" w:name="_Toc462564073"/>
      <w:bookmarkStart w:id="68" w:name="_Toc513029214"/>
      <w:bookmarkStart w:id="69" w:name="_Toc16938530"/>
      <w:bookmarkStart w:id="70" w:name="_Toc20823286"/>
      <w:r>
        <w:rPr>
          <w:rFonts w:hint="eastAsia" w:ascii="宋体" w:hAnsi="宋体" w:eastAsia="宋体" w:cs="宋体"/>
          <w:color w:val="000000"/>
          <w:sz w:val="24"/>
          <w:szCs w:val="24"/>
          <w:highlight w:val="none"/>
          <w:shd w:val="clear" w:color="auto" w:fill="auto"/>
          <w:lang w:val="en-US" w:eastAsia="zh-CN"/>
        </w:rPr>
        <w:t>9、响应文件的语言及度量衡单位</w:t>
      </w:r>
      <w:bookmarkEnd w:id="67"/>
      <w:bookmarkEnd w:id="68"/>
      <w:bookmarkEnd w:id="69"/>
      <w:bookmarkEnd w:id="70"/>
    </w:p>
    <w:p w14:paraId="5B43C782">
      <w:pPr>
        <w:pStyle w:val="212"/>
        <w:keepNext w:val="0"/>
        <w:keepLines w:val="0"/>
        <w:pageBreakBefore w:val="0"/>
        <w:widowControl w:val="0"/>
        <w:spacing w:before="0" w:beforeAutospacing="0" w:after="0" w:afterAutospacing="0" w:line="420" w:lineRule="exact"/>
        <w:ind w:firstLine="420"/>
        <w:jc w:val="both"/>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9.1供应商提交的响应文件以及供应商与采购代理机构就有关询价的所有来往通知、函件和文件均应使用简体中文。</w:t>
      </w:r>
    </w:p>
    <w:p w14:paraId="2BF3198A">
      <w:pPr>
        <w:pStyle w:val="212"/>
        <w:keepNext w:val="0"/>
        <w:keepLines w:val="0"/>
        <w:pageBreakBefore w:val="0"/>
        <w:widowControl w:val="0"/>
        <w:spacing w:before="0" w:beforeAutospacing="0" w:after="0" w:afterAutospacing="0" w:line="420" w:lineRule="exact"/>
        <w:ind w:firstLine="420"/>
        <w:jc w:val="both"/>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9.2 除技术性能另有规定外，响应文件所使用的度量衡单位，均须采用国家法定计量单位。</w:t>
      </w:r>
    </w:p>
    <w:p w14:paraId="413F6406">
      <w:pPr>
        <w:pStyle w:val="212"/>
        <w:keepNext w:val="0"/>
        <w:keepLines w:val="0"/>
        <w:pageBreakBefore w:val="0"/>
        <w:widowControl w:val="0"/>
        <w:spacing w:before="0" w:beforeAutospacing="0" w:after="0" w:afterAutospacing="0" w:line="420" w:lineRule="exact"/>
        <w:ind w:firstLine="420"/>
        <w:jc w:val="both"/>
        <w:rPr>
          <w:rFonts w:hint="eastAsia" w:ascii="宋体" w:hAnsi="宋体" w:eastAsia="宋体" w:cs="宋体"/>
          <w:color w:val="000000"/>
          <w:sz w:val="24"/>
          <w:szCs w:val="24"/>
          <w:highlight w:val="none"/>
          <w:shd w:val="clear" w:color="auto" w:fill="auto"/>
          <w:lang w:val="en-US" w:eastAsia="zh-CN"/>
        </w:rPr>
      </w:pPr>
      <w:bookmarkStart w:id="71" w:name="_Toc16938531"/>
      <w:bookmarkStart w:id="72" w:name="_Toc513029215"/>
      <w:bookmarkStart w:id="73" w:name="_Toc462564074"/>
      <w:bookmarkStart w:id="74" w:name="_Toc20823287"/>
      <w:r>
        <w:rPr>
          <w:rFonts w:hint="eastAsia" w:ascii="宋体" w:hAnsi="宋体" w:eastAsia="宋体" w:cs="宋体"/>
          <w:color w:val="000000"/>
          <w:sz w:val="24"/>
          <w:szCs w:val="24"/>
          <w:highlight w:val="none"/>
          <w:shd w:val="clear" w:color="auto" w:fill="auto"/>
          <w:lang w:val="en-US" w:eastAsia="zh-CN"/>
        </w:rPr>
        <w:t>10、响应文件构成</w:t>
      </w:r>
      <w:bookmarkEnd w:id="71"/>
      <w:bookmarkEnd w:id="72"/>
      <w:bookmarkEnd w:id="73"/>
      <w:bookmarkEnd w:id="74"/>
    </w:p>
    <w:p w14:paraId="72F484DA">
      <w:pPr>
        <w:pStyle w:val="212"/>
        <w:keepNext w:val="0"/>
        <w:keepLines w:val="0"/>
        <w:pageBreakBefore w:val="0"/>
        <w:widowControl w:val="0"/>
        <w:spacing w:before="0" w:beforeAutospacing="0" w:after="0" w:afterAutospacing="0" w:line="420" w:lineRule="exact"/>
        <w:ind w:firstLine="420"/>
        <w:jc w:val="both"/>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10.1供应商编写的响应文件应包括资格证明文件、符合性证明文件、分项报价表、技术要求响应及偏离表、商务要求响应及偏离表、其他证明文件、询价响应函等部分。</w:t>
      </w:r>
    </w:p>
    <w:p w14:paraId="5F38C573">
      <w:pPr>
        <w:pStyle w:val="212"/>
        <w:keepNext w:val="0"/>
        <w:keepLines w:val="0"/>
        <w:pageBreakBefore w:val="0"/>
        <w:widowControl w:val="0"/>
        <w:spacing w:before="0" w:beforeAutospacing="0" w:after="0" w:afterAutospacing="0" w:line="420" w:lineRule="exact"/>
        <w:ind w:firstLine="420"/>
        <w:jc w:val="both"/>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10.2 如标书制作工具中格式和内容与“中国政府采购网”“江苏政府采购网”“盐城市政府采购网”发布的询价文件不一致，请以“中国政府采购网”“江苏政府采购网”“盐城市政府采购网”布的询价文件为准。</w:t>
      </w:r>
    </w:p>
    <w:p w14:paraId="35683E14">
      <w:pPr>
        <w:pStyle w:val="212"/>
        <w:keepNext w:val="0"/>
        <w:keepLines w:val="0"/>
        <w:pageBreakBefore w:val="0"/>
        <w:widowControl w:val="0"/>
        <w:spacing w:before="0" w:beforeAutospacing="0" w:after="0" w:afterAutospacing="0" w:line="420" w:lineRule="exact"/>
        <w:ind w:firstLine="420"/>
        <w:jc w:val="both"/>
        <w:rPr>
          <w:rFonts w:hint="eastAsia" w:ascii="宋体" w:hAnsi="宋体" w:eastAsia="宋体" w:cs="宋体"/>
          <w:color w:val="000000"/>
          <w:sz w:val="24"/>
          <w:szCs w:val="24"/>
          <w:highlight w:val="none"/>
          <w:shd w:val="clear" w:color="auto" w:fill="auto"/>
          <w:lang w:val="en-US" w:eastAsia="zh-CN"/>
        </w:rPr>
      </w:pPr>
      <w:bookmarkStart w:id="75" w:name="_Toc513029216"/>
      <w:bookmarkStart w:id="76" w:name="_Toc49090507"/>
      <w:bookmarkStart w:id="77" w:name="_Toc14577355"/>
      <w:bookmarkStart w:id="78" w:name="_Toc14577357"/>
      <w:bookmarkStart w:id="79" w:name="_Toc513029219"/>
      <w:bookmarkStart w:id="80" w:name="_Toc49090508"/>
      <w:bookmarkStart w:id="81" w:name="_Toc49090509"/>
      <w:bookmarkStart w:id="82" w:name="_Toc14577354"/>
      <w:r>
        <w:rPr>
          <w:rFonts w:hint="eastAsia" w:ascii="宋体" w:hAnsi="宋体" w:eastAsia="宋体" w:cs="宋体"/>
          <w:color w:val="000000"/>
          <w:sz w:val="24"/>
          <w:szCs w:val="24"/>
          <w:highlight w:val="none"/>
          <w:shd w:val="clear" w:color="auto" w:fill="auto"/>
          <w:lang w:val="en-US" w:eastAsia="zh-CN"/>
        </w:rPr>
        <w:t>11、证明询价响应标的符合询价文件规定的文件</w:t>
      </w:r>
      <w:bookmarkEnd w:id="75"/>
      <w:bookmarkEnd w:id="76"/>
      <w:bookmarkEnd w:id="77"/>
      <w:bookmarkEnd w:id="78"/>
      <w:bookmarkEnd w:id="79"/>
      <w:bookmarkEnd w:id="80"/>
      <w:bookmarkEnd w:id="81"/>
      <w:bookmarkEnd w:id="82"/>
    </w:p>
    <w:p w14:paraId="5A768538">
      <w:pPr>
        <w:pStyle w:val="212"/>
        <w:keepNext w:val="0"/>
        <w:keepLines w:val="0"/>
        <w:pageBreakBefore w:val="0"/>
        <w:widowControl w:val="0"/>
        <w:spacing w:before="0" w:beforeAutospacing="0" w:after="0" w:afterAutospacing="0" w:line="420" w:lineRule="exact"/>
        <w:ind w:firstLine="420"/>
        <w:jc w:val="both"/>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11.1供应商应按照询价文件要求提交证明文件，证明其及询价响应标的符合询价文件规定。</w:t>
      </w:r>
    </w:p>
    <w:p w14:paraId="01673101">
      <w:pPr>
        <w:pStyle w:val="212"/>
        <w:keepNext w:val="0"/>
        <w:keepLines w:val="0"/>
        <w:pageBreakBefore w:val="0"/>
        <w:widowControl w:val="0"/>
        <w:spacing w:before="0" w:beforeAutospacing="0" w:after="0" w:afterAutospacing="0" w:line="420" w:lineRule="exact"/>
        <w:ind w:firstLine="420"/>
        <w:jc w:val="both"/>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11.2询价文件对证明文件无明确形式要求的，证明文件可以以文字资料、图纸和数据等形式提交。</w:t>
      </w:r>
    </w:p>
    <w:p w14:paraId="1FF8CF6E">
      <w:pPr>
        <w:pStyle w:val="212"/>
        <w:keepNext w:val="0"/>
        <w:keepLines w:val="0"/>
        <w:pageBreakBefore w:val="0"/>
        <w:widowControl w:val="0"/>
        <w:spacing w:before="0" w:beforeAutospacing="0" w:after="0" w:afterAutospacing="0" w:line="420" w:lineRule="exact"/>
        <w:ind w:firstLine="420"/>
        <w:jc w:val="both"/>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12、分项报价表</w:t>
      </w:r>
    </w:p>
    <w:p w14:paraId="2F3EDCC5">
      <w:pPr>
        <w:pStyle w:val="212"/>
        <w:keepNext w:val="0"/>
        <w:keepLines w:val="0"/>
        <w:pageBreakBefore w:val="0"/>
        <w:widowControl w:val="0"/>
        <w:spacing w:before="0" w:beforeAutospacing="0" w:after="0" w:afterAutospacing="0" w:line="420" w:lineRule="exact"/>
        <w:ind w:firstLine="420"/>
        <w:jc w:val="both"/>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12.1供应商应按照询价文件规定格式填报分项报价表。</w:t>
      </w:r>
    </w:p>
    <w:p w14:paraId="002BBA1E">
      <w:pPr>
        <w:pStyle w:val="212"/>
        <w:keepNext w:val="0"/>
        <w:keepLines w:val="0"/>
        <w:pageBreakBefore w:val="0"/>
        <w:widowControl w:val="0"/>
        <w:spacing w:before="0" w:beforeAutospacing="0" w:after="0" w:afterAutospacing="0" w:line="420" w:lineRule="exact"/>
        <w:ind w:firstLine="420"/>
        <w:jc w:val="both"/>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12.2询价货币。响应文件中的单价和总价无特殊规定的采用人民币报价，以元为单位标注。询价文件中另有规定的按规定执行。</w:t>
      </w:r>
    </w:p>
    <w:p w14:paraId="1FFF3BC8">
      <w:pPr>
        <w:pStyle w:val="212"/>
        <w:keepNext w:val="0"/>
        <w:keepLines w:val="0"/>
        <w:pageBreakBefore w:val="0"/>
        <w:widowControl w:val="0"/>
        <w:spacing w:before="0" w:beforeAutospacing="0" w:after="0" w:afterAutospacing="0" w:line="420" w:lineRule="exact"/>
        <w:ind w:firstLine="420"/>
        <w:jc w:val="both"/>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13、技术要求响应及偏离表、商务要求响应及偏离表</w:t>
      </w:r>
    </w:p>
    <w:p w14:paraId="6680BF68">
      <w:pPr>
        <w:pStyle w:val="212"/>
        <w:keepNext w:val="0"/>
        <w:keepLines w:val="0"/>
        <w:pageBreakBefore w:val="0"/>
        <w:widowControl w:val="0"/>
        <w:spacing w:before="0" w:beforeAutospacing="0" w:after="0" w:afterAutospacing="0" w:line="420" w:lineRule="exact"/>
        <w:ind w:firstLine="420"/>
        <w:jc w:val="both"/>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13.1供应商需对询价文件中的技术要求与商务要求逐项作出响应或偏离，并说明原因。</w:t>
      </w:r>
    </w:p>
    <w:p w14:paraId="666F1CA2">
      <w:pPr>
        <w:pStyle w:val="212"/>
        <w:keepNext w:val="0"/>
        <w:keepLines w:val="0"/>
        <w:pageBreakBefore w:val="0"/>
        <w:widowControl w:val="0"/>
        <w:spacing w:before="0" w:beforeAutospacing="0" w:after="0" w:afterAutospacing="0" w:line="420" w:lineRule="exact"/>
        <w:ind w:firstLine="420"/>
        <w:jc w:val="both"/>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13.2供应商可在响应文件中提供认为需要的其他技术文件或说明。</w:t>
      </w:r>
    </w:p>
    <w:p w14:paraId="03E9F08D">
      <w:pPr>
        <w:pStyle w:val="212"/>
        <w:keepNext w:val="0"/>
        <w:keepLines w:val="0"/>
        <w:pageBreakBefore w:val="0"/>
        <w:widowControl w:val="0"/>
        <w:spacing w:before="0" w:beforeAutospacing="0" w:after="0" w:afterAutospacing="0" w:line="420" w:lineRule="exact"/>
        <w:ind w:firstLine="420"/>
        <w:jc w:val="both"/>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14、服务承诺、培训计划、人员安排及其他</w:t>
      </w:r>
    </w:p>
    <w:p w14:paraId="0C40AC54">
      <w:pPr>
        <w:pStyle w:val="212"/>
        <w:keepNext w:val="0"/>
        <w:keepLines w:val="0"/>
        <w:pageBreakBefore w:val="0"/>
        <w:widowControl w:val="0"/>
        <w:spacing w:before="0" w:beforeAutospacing="0" w:after="0" w:afterAutospacing="0" w:line="420" w:lineRule="exact"/>
        <w:ind w:firstLine="420"/>
        <w:jc w:val="both"/>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14.1供应商需根据询价文件要求提供有关售后服务的管理制度，售后服务机构的分布情况，售后服务人员的数量、素质、技术水平及售后服务的反应能力等。</w:t>
      </w:r>
    </w:p>
    <w:p w14:paraId="7CC2DE28">
      <w:pPr>
        <w:pStyle w:val="212"/>
        <w:keepNext w:val="0"/>
        <w:keepLines w:val="0"/>
        <w:pageBreakBefore w:val="0"/>
        <w:widowControl w:val="0"/>
        <w:spacing w:before="0" w:beforeAutospacing="0" w:after="0" w:afterAutospacing="0" w:line="420" w:lineRule="exact"/>
        <w:ind w:firstLine="420"/>
        <w:jc w:val="both"/>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14.2供应商需根据询价文件要求提供培训计划。</w:t>
      </w:r>
    </w:p>
    <w:p w14:paraId="6C7DB54C">
      <w:pPr>
        <w:pStyle w:val="212"/>
        <w:keepNext w:val="0"/>
        <w:keepLines w:val="0"/>
        <w:pageBreakBefore w:val="0"/>
        <w:widowControl w:val="0"/>
        <w:spacing w:before="0" w:beforeAutospacing="0" w:after="0" w:afterAutospacing="0" w:line="420" w:lineRule="exact"/>
        <w:ind w:firstLine="420"/>
        <w:jc w:val="both"/>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14.3供应商需根据询价文件要求提供询价响应标的的主要组成部分、功能设计、实现思路及关键技术等。</w:t>
      </w:r>
    </w:p>
    <w:p w14:paraId="46060832">
      <w:pPr>
        <w:pStyle w:val="212"/>
        <w:keepNext w:val="0"/>
        <w:keepLines w:val="0"/>
        <w:pageBreakBefore w:val="0"/>
        <w:widowControl w:val="0"/>
        <w:spacing w:before="0" w:beforeAutospacing="0" w:after="0" w:afterAutospacing="0" w:line="420" w:lineRule="exact"/>
        <w:ind w:firstLine="420"/>
        <w:jc w:val="both"/>
        <w:rPr>
          <w:rFonts w:hint="eastAsia" w:ascii="宋体" w:hAnsi="宋体" w:eastAsia="宋体" w:cs="宋体"/>
          <w:color w:val="000000"/>
          <w:sz w:val="24"/>
          <w:szCs w:val="24"/>
          <w:highlight w:val="none"/>
          <w:shd w:val="clear" w:color="auto" w:fill="auto"/>
          <w:lang w:val="en-US" w:eastAsia="zh-CN"/>
        </w:rPr>
      </w:pPr>
      <w:bookmarkStart w:id="83" w:name="_Toc14577359"/>
      <w:bookmarkStart w:id="84" w:name="_Toc49090510"/>
      <w:r>
        <w:rPr>
          <w:rFonts w:hint="eastAsia" w:ascii="宋体" w:hAnsi="宋体" w:eastAsia="宋体" w:cs="宋体"/>
          <w:color w:val="000000"/>
          <w:sz w:val="24"/>
          <w:szCs w:val="24"/>
          <w:highlight w:val="none"/>
          <w:shd w:val="clear" w:color="auto" w:fill="auto"/>
          <w:lang w:val="en-US" w:eastAsia="zh-CN"/>
        </w:rPr>
        <w:t>15、询价响应函</w:t>
      </w:r>
      <w:bookmarkEnd w:id="83"/>
      <w:bookmarkEnd w:id="84"/>
    </w:p>
    <w:p w14:paraId="3AC04D76">
      <w:pPr>
        <w:pStyle w:val="212"/>
        <w:keepNext w:val="0"/>
        <w:keepLines w:val="0"/>
        <w:pageBreakBefore w:val="0"/>
        <w:widowControl w:val="0"/>
        <w:spacing w:before="0" w:beforeAutospacing="0" w:after="0" w:afterAutospacing="0" w:line="420" w:lineRule="exact"/>
        <w:ind w:firstLine="420"/>
        <w:jc w:val="both"/>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15.1供应商应按照询价文件中提供的格式完整、正确填写询价响应函。</w:t>
      </w:r>
    </w:p>
    <w:p w14:paraId="0569F198">
      <w:pPr>
        <w:pStyle w:val="212"/>
        <w:keepNext w:val="0"/>
        <w:keepLines w:val="0"/>
        <w:pageBreakBefore w:val="0"/>
        <w:widowControl w:val="0"/>
        <w:spacing w:before="0" w:beforeAutospacing="0" w:after="0" w:afterAutospacing="0" w:line="420" w:lineRule="exact"/>
        <w:ind w:firstLine="420"/>
        <w:jc w:val="both"/>
        <w:rPr>
          <w:rFonts w:hint="eastAsia" w:ascii="宋体" w:hAnsi="宋体" w:eastAsia="宋体" w:cs="宋体"/>
          <w:color w:val="000000"/>
          <w:sz w:val="24"/>
          <w:szCs w:val="24"/>
          <w:highlight w:val="none"/>
          <w:shd w:val="clear" w:color="auto" w:fill="auto"/>
          <w:lang w:val="en-US" w:eastAsia="zh-CN"/>
        </w:rPr>
      </w:pPr>
      <w:bookmarkStart w:id="85" w:name="_Toc49090511"/>
      <w:bookmarkStart w:id="86" w:name="_Toc14577360"/>
      <w:r>
        <w:rPr>
          <w:rFonts w:hint="eastAsia" w:ascii="宋体" w:hAnsi="宋体" w:eastAsia="宋体" w:cs="宋体"/>
          <w:color w:val="000000"/>
          <w:sz w:val="24"/>
          <w:szCs w:val="24"/>
          <w:highlight w:val="none"/>
          <w:shd w:val="clear" w:color="auto" w:fill="auto"/>
          <w:lang w:val="en-US" w:eastAsia="zh-CN"/>
        </w:rPr>
        <w:t>16、询价有效期</w:t>
      </w:r>
      <w:bookmarkEnd w:id="85"/>
      <w:bookmarkEnd w:id="86"/>
    </w:p>
    <w:p w14:paraId="4E2641CF">
      <w:pPr>
        <w:pStyle w:val="212"/>
        <w:keepNext w:val="0"/>
        <w:keepLines w:val="0"/>
        <w:pageBreakBefore w:val="0"/>
        <w:widowControl w:val="0"/>
        <w:spacing w:before="0" w:beforeAutospacing="0" w:after="0" w:afterAutospacing="0" w:line="420" w:lineRule="exact"/>
        <w:ind w:firstLine="420"/>
        <w:jc w:val="both"/>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16.1询价有效期为采购代理机构规定的提交响应文件截止之日后</w:t>
      </w:r>
      <w:r>
        <w:rPr>
          <w:rFonts w:hint="eastAsia" w:ascii="宋体" w:hAnsi="宋体" w:eastAsia="宋体" w:cs="宋体"/>
          <w:color w:val="000000"/>
          <w:sz w:val="24"/>
          <w:szCs w:val="24"/>
          <w:highlight w:val="none"/>
          <w:u w:val="single"/>
          <w:shd w:val="clear" w:color="auto" w:fill="auto"/>
          <w:lang w:val="en-US" w:eastAsia="zh-CN"/>
        </w:rPr>
        <w:t>九十（90）</w:t>
      </w:r>
      <w:r>
        <w:rPr>
          <w:rFonts w:hint="eastAsia" w:ascii="宋体" w:hAnsi="宋体" w:eastAsia="宋体" w:cs="宋体"/>
          <w:color w:val="000000"/>
          <w:sz w:val="24"/>
          <w:szCs w:val="24"/>
          <w:highlight w:val="none"/>
          <w:shd w:val="clear" w:color="auto" w:fill="auto"/>
          <w:lang w:val="en-US" w:eastAsia="zh-CN"/>
        </w:rPr>
        <w:t>天。询价有效期比规定短的将被视为非实质性响应询价文件而予以拒绝。</w:t>
      </w:r>
    </w:p>
    <w:p w14:paraId="2CB49FC0">
      <w:pPr>
        <w:pStyle w:val="212"/>
        <w:keepNext w:val="0"/>
        <w:keepLines w:val="0"/>
        <w:pageBreakBefore w:val="0"/>
        <w:widowControl w:val="0"/>
        <w:spacing w:before="0" w:beforeAutospacing="0" w:after="0" w:afterAutospacing="0" w:line="420" w:lineRule="exact"/>
        <w:ind w:firstLine="420"/>
        <w:jc w:val="both"/>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17、询价有效期的延长</w:t>
      </w:r>
    </w:p>
    <w:p w14:paraId="1FDC84D9">
      <w:pPr>
        <w:pStyle w:val="212"/>
        <w:keepNext w:val="0"/>
        <w:keepLines w:val="0"/>
        <w:pageBreakBefore w:val="0"/>
        <w:widowControl w:val="0"/>
        <w:spacing w:before="0" w:beforeAutospacing="0" w:after="0" w:afterAutospacing="0" w:line="420" w:lineRule="exact"/>
        <w:ind w:firstLine="420"/>
        <w:jc w:val="both"/>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17.1在特殊情况下，采购代理机构于原询价有效期满之前，可向供应商提出延长询价有效期的要求。这种要求与答复均应采用书面形式。供应商可以拒绝采购代理机构的这一要求而放弃询价，同意延长询价有效期的供应商既不能要求也不允许修改其响应文件。受询价有效期约束的所有权利与义务均延长至新的有效期。</w:t>
      </w:r>
    </w:p>
    <w:p w14:paraId="4C8B3AD8">
      <w:pPr>
        <w:pStyle w:val="187"/>
        <w:keepNext w:val="0"/>
        <w:keepLines w:val="0"/>
        <w:pageBreakBefore w:val="0"/>
        <w:widowControl/>
        <w:suppressLineNumbers w:val="0"/>
        <w:pBdr>
          <w:top w:val="none" w:color="000000" w:sz="0" w:space="0"/>
          <w:left w:val="none" w:color="000000" w:sz="0" w:space="0"/>
          <w:bottom w:val="none" w:color="000000" w:sz="0" w:space="0"/>
          <w:right w:val="none" w:color="000000" w:sz="0" w:space="0"/>
        </w:pBdr>
        <w:shd w:val="clear" w:color="auto" w:fill="FFFFFF"/>
        <w:spacing w:before="0" w:beforeAutospacing="0" w:after="0" w:afterAutospacing="0" w:line="420" w:lineRule="exact"/>
        <w:ind w:left="0" w:right="0" w:firstLine="482"/>
        <w:jc w:val="both"/>
        <w:rPr>
          <w:rFonts w:hint="eastAsia" w:ascii="宋体" w:hAnsi="宋体" w:eastAsia="宋体" w:cs="宋体"/>
          <w:b/>
          <w:bCs w:val="0"/>
          <w:color w:val="000000"/>
          <w:sz w:val="24"/>
          <w:szCs w:val="24"/>
          <w:highlight w:val="none"/>
          <w:shd w:val="clear" w:color="auto" w:fill="auto"/>
          <w:lang w:val="en-US" w:eastAsia="zh-CN" w:bidi="ar-SA"/>
        </w:rPr>
      </w:pPr>
      <w:bookmarkStart w:id="87" w:name="_Toc20823296"/>
      <w:bookmarkStart w:id="88" w:name="_Toc120614217"/>
      <w:bookmarkStart w:id="89" w:name="_Toc513029224"/>
      <w:bookmarkStart w:id="90" w:name="_Toc16938540"/>
      <w:r>
        <w:rPr>
          <w:rFonts w:hint="eastAsia" w:ascii="宋体" w:hAnsi="宋体" w:eastAsia="宋体" w:cs="宋体"/>
          <w:b/>
          <w:bCs w:val="0"/>
          <w:color w:val="000000"/>
          <w:sz w:val="24"/>
          <w:szCs w:val="24"/>
          <w:highlight w:val="none"/>
          <w:shd w:val="clear" w:color="auto" w:fill="auto"/>
          <w:lang w:val="en-US" w:eastAsia="zh-CN" w:bidi="ar-SA"/>
        </w:rPr>
        <w:t>四、响应文件的递交</w:t>
      </w:r>
      <w:bookmarkEnd w:id="87"/>
      <w:bookmarkEnd w:id="88"/>
      <w:bookmarkEnd w:id="89"/>
      <w:bookmarkEnd w:id="90"/>
    </w:p>
    <w:p w14:paraId="06C988B2">
      <w:pPr>
        <w:pStyle w:val="212"/>
        <w:keepNext w:val="0"/>
        <w:keepLines w:val="0"/>
        <w:pageBreakBefore w:val="0"/>
        <w:widowControl w:val="0"/>
        <w:spacing w:before="0" w:beforeAutospacing="0" w:after="0" w:afterAutospacing="0" w:line="420" w:lineRule="exact"/>
        <w:ind w:firstLine="420"/>
        <w:jc w:val="both"/>
        <w:rPr>
          <w:rFonts w:hint="eastAsia" w:ascii="宋体" w:hAnsi="宋体" w:eastAsia="宋体" w:cs="宋体"/>
          <w:color w:val="000000"/>
          <w:sz w:val="24"/>
          <w:szCs w:val="24"/>
          <w:highlight w:val="none"/>
          <w:shd w:val="clear" w:color="auto" w:fill="auto"/>
          <w:lang w:val="en-US" w:eastAsia="zh-CN"/>
        </w:rPr>
      </w:pPr>
      <w:bookmarkStart w:id="91" w:name="_Toc20823297"/>
      <w:bookmarkStart w:id="92" w:name="_Toc462564084"/>
      <w:bookmarkStart w:id="93" w:name="_Toc16938541"/>
      <w:bookmarkStart w:id="94" w:name="_Toc513029225"/>
      <w:r>
        <w:rPr>
          <w:rFonts w:hint="eastAsia" w:ascii="宋体" w:hAnsi="宋体" w:eastAsia="宋体" w:cs="宋体"/>
          <w:color w:val="000000"/>
          <w:sz w:val="24"/>
          <w:szCs w:val="24"/>
          <w:highlight w:val="none"/>
          <w:shd w:val="clear" w:color="auto" w:fill="auto"/>
          <w:lang w:val="en-US" w:eastAsia="zh-CN"/>
        </w:rPr>
        <w:t>18、电子</w:t>
      </w:r>
      <w:bookmarkEnd w:id="91"/>
      <w:bookmarkEnd w:id="92"/>
      <w:bookmarkEnd w:id="93"/>
      <w:bookmarkEnd w:id="94"/>
      <w:r>
        <w:rPr>
          <w:rFonts w:hint="eastAsia" w:ascii="宋体" w:hAnsi="宋体" w:eastAsia="宋体" w:cs="宋体"/>
          <w:color w:val="000000"/>
          <w:sz w:val="24"/>
          <w:szCs w:val="24"/>
          <w:highlight w:val="none"/>
          <w:shd w:val="clear" w:color="auto" w:fill="auto"/>
          <w:lang w:val="en-US" w:eastAsia="zh-CN"/>
        </w:rPr>
        <w:t>询价响应文件的递交</w:t>
      </w:r>
    </w:p>
    <w:p w14:paraId="3452D1F7">
      <w:pPr>
        <w:pStyle w:val="212"/>
        <w:keepNext w:val="0"/>
        <w:keepLines w:val="0"/>
        <w:pageBreakBefore w:val="0"/>
        <w:widowControl w:val="0"/>
        <w:spacing w:before="0" w:beforeAutospacing="0" w:after="0" w:afterAutospacing="0" w:line="420" w:lineRule="exact"/>
        <w:ind w:firstLine="420"/>
        <w:jc w:val="both"/>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18.1供应商应当按照《操作手册》规定，在提交响应文件截止时间前制作并上传电子响应文件。</w:t>
      </w:r>
      <w:bookmarkStart w:id="95" w:name="_Toc16938542"/>
      <w:bookmarkEnd w:id="95"/>
      <w:bookmarkStart w:id="96" w:name="_Toc20823298"/>
      <w:bookmarkEnd w:id="96"/>
    </w:p>
    <w:p w14:paraId="33119047">
      <w:pPr>
        <w:pStyle w:val="212"/>
        <w:keepNext w:val="0"/>
        <w:keepLines w:val="0"/>
        <w:pageBreakBefore w:val="0"/>
        <w:widowControl w:val="0"/>
        <w:spacing w:before="0" w:beforeAutospacing="0" w:after="0" w:afterAutospacing="0" w:line="420" w:lineRule="exact"/>
        <w:ind w:firstLine="420"/>
        <w:jc w:val="both"/>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19、提交响应文件截止时间</w:t>
      </w:r>
    </w:p>
    <w:p w14:paraId="4DC4B090">
      <w:pPr>
        <w:pStyle w:val="212"/>
        <w:keepNext w:val="0"/>
        <w:keepLines w:val="0"/>
        <w:pageBreakBefore w:val="0"/>
        <w:widowControl w:val="0"/>
        <w:spacing w:before="0" w:beforeAutospacing="0" w:after="0" w:afterAutospacing="0" w:line="420" w:lineRule="exact"/>
        <w:ind w:firstLine="420"/>
        <w:jc w:val="both"/>
        <w:rPr>
          <w:rFonts w:hint="eastAsia" w:ascii="宋体" w:hAnsi="宋体" w:eastAsia="宋体" w:cs="宋体"/>
          <w:i/>
          <w:iCs/>
          <w:color w:val="000000"/>
          <w:sz w:val="24"/>
          <w:szCs w:val="24"/>
          <w:highlight w:val="none"/>
          <w:u w:val="single"/>
          <w:shd w:val="clear" w:color="auto" w:fill="auto"/>
          <w:lang w:val="en-US" w:eastAsia="zh-CN"/>
        </w:rPr>
      </w:pPr>
      <w:r>
        <w:rPr>
          <w:rFonts w:hint="eastAsia" w:ascii="宋体" w:hAnsi="宋体" w:eastAsia="宋体" w:cs="宋体"/>
          <w:i/>
          <w:iCs/>
          <w:color w:val="000000"/>
          <w:sz w:val="24"/>
          <w:szCs w:val="24"/>
          <w:highlight w:val="none"/>
          <w:u w:val="single"/>
          <w:shd w:val="clear" w:color="auto" w:fill="auto"/>
          <w:lang w:val="en-US" w:eastAsia="zh-CN"/>
        </w:rPr>
        <w:t>19.1供应商上传电子响应文件的时间不得迟于询价公告中规定的提交响应文件截止时间。</w:t>
      </w:r>
    </w:p>
    <w:p w14:paraId="6C2CBE91">
      <w:pPr>
        <w:pStyle w:val="212"/>
        <w:pageBreakBefore w:val="0"/>
        <w:widowControl w:val="0"/>
        <w:spacing w:before="0" w:beforeAutospacing="0" w:after="0" w:afterAutospacing="0" w:line="420" w:lineRule="exact"/>
        <w:ind w:firstLine="480"/>
        <w:jc w:val="both"/>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供应商应充分考虑到网络环境、网络带宽等风险因素，如因供应商自身原因造成的电子响应文件上传不成功的按照本询价文件第二章第26.</w:t>
      </w:r>
      <w:r>
        <w:rPr>
          <w:rFonts w:hint="eastAsia" w:eastAsia="宋体" w:cs="宋体"/>
          <w:color w:val="000000"/>
          <w:sz w:val="24"/>
          <w:szCs w:val="24"/>
          <w:highlight w:val="none"/>
          <w:shd w:val="clear" w:color="auto" w:fill="auto"/>
          <w:lang w:val="en-US" w:eastAsia="zh-CN"/>
        </w:rPr>
        <w:t>6</w:t>
      </w:r>
      <w:r>
        <w:rPr>
          <w:rFonts w:hint="eastAsia" w:ascii="宋体" w:hAnsi="宋体" w:eastAsia="宋体" w:cs="宋体"/>
          <w:color w:val="000000"/>
          <w:sz w:val="24"/>
          <w:szCs w:val="24"/>
          <w:highlight w:val="none"/>
          <w:shd w:val="clear" w:color="auto" w:fill="auto"/>
        </w:rPr>
        <w:t>条规定做无效响应处理。</w:t>
      </w:r>
    </w:p>
    <w:p w14:paraId="2819C4E5">
      <w:pPr>
        <w:pStyle w:val="212"/>
        <w:pageBreakBefore w:val="0"/>
        <w:widowControl w:val="0"/>
        <w:spacing w:before="0" w:beforeAutospacing="0" w:after="0" w:afterAutospacing="0" w:line="420" w:lineRule="exact"/>
        <w:ind w:firstLine="480"/>
        <w:jc w:val="both"/>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19.2 </w:t>
      </w:r>
      <w:r>
        <w:rPr>
          <w:rFonts w:hint="eastAsia" w:eastAsia="宋体" w:cs="宋体"/>
          <w:color w:val="000000"/>
          <w:sz w:val="24"/>
          <w:szCs w:val="24"/>
          <w:highlight w:val="none"/>
          <w:shd w:val="clear" w:color="auto" w:fill="auto"/>
          <w:lang w:eastAsia="zh-CN"/>
        </w:rPr>
        <w:t>采购代理机构</w:t>
      </w:r>
      <w:r>
        <w:rPr>
          <w:rFonts w:hint="eastAsia" w:ascii="宋体" w:hAnsi="宋体" w:eastAsia="宋体" w:cs="宋体"/>
          <w:color w:val="000000"/>
          <w:sz w:val="24"/>
          <w:szCs w:val="24"/>
          <w:highlight w:val="none"/>
          <w:shd w:val="clear" w:color="auto" w:fill="auto"/>
        </w:rPr>
        <w:t>可以按照规定，通过修改询价文件酌情延长提交响应文件截止日期，在此情况下，供应商的所有权利和义务以及供应商受制的截止日期均应以延长后新的截止日期为准。</w:t>
      </w:r>
    </w:p>
    <w:p w14:paraId="407288C6">
      <w:pPr>
        <w:pStyle w:val="212"/>
        <w:keepNext/>
        <w:keepLines/>
        <w:pageBreakBefore w:val="0"/>
        <w:widowControl w:val="0"/>
        <w:spacing w:before="0" w:beforeAutospacing="0" w:after="0" w:afterAutospacing="0" w:line="420" w:lineRule="exact"/>
        <w:ind w:firstLine="420"/>
        <w:jc w:val="both"/>
        <w:rPr>
          <w:rFonts w:hint="eastAsia" w:ascii="宋体" w:hAnsi="宋体" w:eastAsia="宋体" w:cs="宋体"/>
          <w:color w:val="000000"/>
          <w:sz w:val="24"/>
          <w:szCs w:val="24"/>
          <w:highlight w:val="none"/>
          <w:shd w:val="clear" w:color="auto" w:fill="auto"/>
        </w:rPr>
      </w:pPr>
      <w:bookmarkStart w:id="97" w:name="_Toc20823299"/>
      <w:bookmarkStart w:id="98" w:name="_Toc513029227"/>
      <w:bookmarkStart w:id="99" w:name="_Toc16938543"/>
      <w:r>
        <w:rPr>
          <w:rFonts w:hint="eastAsia" w:ascii="宋体" w:hAnsi="宋体" w:eastAsia="宋体" w:cs="宋体"/>
          <w:color w:val="000000"/>
          <w:sz w:val="24"/>
          <w:szCs w:val="24"/>
          <w:highlight w:val="none"/>
          <w:shd w:val="clear" w:color="auto" w:fill="auto"/>
        </w:rPr>
        <w:t>20、响应文件</w:t>
      </w:r>
      <w:bookmarkEnd w:id="97"/>
      <w:bookmarkEnd w:id="98"/>
      <w:bookmarkEnd w:id="99"/>
      <w:r>
        <w:rPr>
          <w:rFonts w:hint="eastAsia" w:ascii="宋体" w:hAnsi="宋体" w:eastAsia="宋体" w:cs="宋体"/>
          <w:color w:val="000000"/>
          <w:sz w:val="24"/>
          <w:szCs w:val="24"/>
          <w:highlight w:val="none"/>
          <w:shd w:val="clear" w:color="auto" w:fill="auto"/>
        </w:rPr>
        <w:t>的拒收</w:t>
      </w:r>
    </w:p>
    <w:p w14:paraId="501A82AE">
      <w:pPr>
        <w:pStyle w:val="212"/>
        <w:pageBreakBefore w:val="0"/>
        <w:widowControl w:val="0"/>
        <w:spacing w:before="0" w:beforeAutospacing="0" w:after="0" w:afterAutospacing="0" w:line="420" w:lineRule="exact"/>
        <w:ind w:firstLine="480"/>
        <w:jc w:val="both"/>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20.1 </w:t>
      </w:r>
      <w:r>
        <w:rPr>
          <w:rFonts w:hint="eastAsia" w:eastAsia="宋体" w:cs="宋体"/>
          <w:color w:val="000000"/>
          <w:sz w:val="24"/>
          <w:szCs w:val="24"/>
          <w:highlight w:val="none"/>
          <w:shd w:val="clear" w:color="auto" w:fill="auto"/>
          <w:lang w:eastAsia="zh-CN"/>
        </w:rPr>
        <w:t>采购代理机构</w:t>
      </w:r>
      <w:r>
        <w:rPr>
          <w:rFonts w:hint="eastAsia" w:ascii="宋体" w:hAnsi="宋体" w:eastAsia="宋体" w:cs="宋体"/>
          <w:color w:val="000000"/>
          <w:sz w:val="24"/>
          <w:szCs w:val="24"/>
          <w:highlight w:val="none"/>
          <w:shd w:val="clear" w:color="auto" w:fill="auto"/>
        </w:rPr>
        <w:t>拒绝接收在其规定的提交响应文件截止时间后上传的任何电子响应文件。</w:t>
      </w:r>
    </w:p>
    <w:p w14:paraId="3F8089B7">
      <w:pPr>
        <w:pStyle w:val="212"/>
        <w:keepNext/>
        <w:keepLines/>
        <w:pageBreakBefore w:val="0"/>
        <w:widowControl w:val="0"/>
        <w:spacing w:before="0" w:beforeAutospacing="0" w:after="0" w:afterAutospacing="0" w:line="420" w:lineRule="exact"/>
        <w:ind w:firstLine="420"/>
        <w:jc w:val="both"/>
        <w:rPr>
          <w:rFonts w:hint="eastAsia" w:ascii="宋体" w:hAnsi="宋体" w:eastAsia="宋体" w:cs="宋体"/>
          <w:color w:val="000000"/>
          <w:sz w:val="24"/>
          <w:szCs w:val="24"/>
          <w:highlight w:val="none"/>
          <w:shd w:val="clear" w:color="auto" w:fill="auto"/>
        </w:rPr>
      </w:pPr>
      <w:bookmarkStart w:id="100" w:name="_Toc513029228"/>
      <w:bookmarkStart w:id="101" w:name="_Toc16938544"/>
      <w:bookmarkStart w:id="102" w:name="_Toc20823300"/>
      <w:r>
        <w:rPr>
          <w:rFonts w:hint="eastAsia" w:ascii="宋体" w:hAnsi="宋体" w:eastAsia="宋体" w:cs="宋体"/>
          <w:color w:val="000000"/>
          <w:sz w:val="24"/>
          <w:szCs w:val="24"/>
          <w:highlight w:val="none"/>
          <w:shd w:val="clear" w:color="auto" w:fill="auto"/>
        </w:rPr>
        <w:t>21、响应文件的撤回和修改</w:t>
      </w:r>
      <w:bookmarkEnd w:id="100"/>
      <w:bookmarkEnd w:id="101"/>
      <w:bookmarkEnd w:id="102"/>
    </w:p>
    <w:p w14:paraId="35089B9F">
      <w:pPr>
        <w:pStyle w:val="212"/>
        <w:pageBreakBefore w:val="0"/>
        <w:widowControl w:val="0"/>
        <w:spacing w:before="0" w:beforeAutospacing="0" w:after="0" w:afterAutospacing="0" w:line="420" w:lineRule="exact"/>
        <w:ind w:firstLine="480"/>
        <w:jc w:val="both"/>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21.1响应文件的撤回</w:t>
      </w:r>
    </w:p>
    <w:p w14:paraId="06FB1914">
      <w:pPr>
        <w:pStyle w:val="212"/>
        <w:pageBreakBefore w:val="0"/>
        <w:widowControl w:val="0"/>
        <w:spacing w:before="0" w:beforeAutospacing="0" w:after="0" w:afterAutospacing="0" w:line="420" w:lineRule="exact"/>
        <w:ind w:firstLine="480"/>
        <w:jc w:val="both"/>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21.1.1 电子响应文件的撤回</w:t>
      </w:r>
    </w:p>
    <w:p w14:paraId="48040417">
      <w:pPr>
        <w:pStyle w:val="212"/>
        <w:pageBreakBefore w:val="0"/>
        <w:widowControl w:val="0"/>
        <w:spacing w:before="0" w:beforeAutospacing="0" w:after="0" w:afterAutospacing="0" w:line="420" w:lineRule="exact"/>
        <w:ind w:firstLine="480"/>
        <w:jc w:val="both"/>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供应商可在提交响应文件截止时间前，撤回其电子响应文件，具体操作方法见《操作手册》。</w:t>
      </w:r>
    </w:p>
    <w:p w14:paraId="2E193B07">
      <w:pPr>
        <w:pStyle w:val="212"/>
        <w:pageBreakBefore w:val="0"/>
        <w:widowControl w:val="0"/>
        <w:spacing w:before="0" w:beforeAutospacing="0" w:after="0" w:afterAutospacing="0" w:line="420" w:lineRule="exact"/>
        <w:ind w:firstLine="480"/>
        <w:jc w:val="both"/>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21.1.2供应商撤回电子响应文件，则认为其不再参与本项目询价活动。</w:t>
      </w:r>
    </w:p>
    <w:p w14:paraId="3E021C6B">
      <w:pPr>
        <w:pStyle w:val="212"/>
        <w:pageBreakBefore w:val="0"/>
        <w:widowControl w:val="0"/>
        <w:spacing w:before="0" w:beforeAutospacing="0" w:after="0" w:afterAutospacing="0" w:line="420" w:lineRule="exact"/>
        <w:ind w:firstLine="480"/>
        <w:jc w:val="both"/>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21.2响应文件的修改</w:t>
      </w:r>
    </w:p>
    <w:p w14:paraId="6A22CA17">
      <w:pPr>
        <w:pStyle w:val="212"/>
        <w:pageBreakBefore w:val="0"/>
        <w:widowControl w:val="0"/>
        <w:spacing w:before="0" w:beforeAutospacing="0" w:after="0" w:afterAutospacing="0" w:line="420" w:lineRule="exact"/>
        <w:ind w:firstLine="480"/>
        <w:jc w:val="both"/>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供应商可在提交响应文件截止时间前，对其电子响应文件进行修改，具体操作方法见《操作手册》。</w:t>
      </w:r>
    </w:p>
    <w:p w14:paraId="09F579A5">
      <w:pPr>
        <w:pStyle w:val="212"/>
        <w:pageBreakBefore w:val="0"/>
        <w:widowControl w:val="0"/>
        <w:spacing w:before="0" w:beforeAutospacing="0" w:after="0" w:afterAutospacing="0" w:line="420" w:lineRule="exact"/>
        <w:ind w:firstLine="480"/>
        <w:jc w:val="both"/>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21.3 在提交响应文件截止时间之后，供应商不得对其电子响应文件作任何修改。</w:t>
      </w:r>
    </w:p>
    <w:p w14:paraId="5C004A3C">
      <w:pPr>
        <w:pStyle w:val="212"/>
        <w:pageBreakBefore w:val="0"/>
        <w:widowControl w:val="0"/>
        <w:spacing w:before="0" w:beforeAutospacing="0" w:after="0" w:afterAutospacing="0" w:line="420" w:lineRule="exact"/>
        <w:ind w:firstLine="480"/>
        <w:jc w:val="both"/>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21.4 在提交响应文件截止时间至询价文件中规定的询价有效期满之间的这段时间内，供应商不得撤回其响应文件。</w:t>
      </w:r>
    </w:p>
    <w:p w14:paraId="388819BA">
      <w:pPr>
        <w:pStyle w:val="187"/>
        <w:keepNext w:val="0"/>
        <w:keepLines w:val="0"/>
        <w:pageBreakBefore w:val="0"/>
        <w:widowControl/>
        <w:suppressLineNumbers w:val="0"/>
        <w:pBdr>
          <w:top w:val="none" w:color="000000" w:sz="0" w:space="0"/>
          <w:left w:val="none" w:color="000000" w:sz="0" w:space="0"/>
          <w:bottom w:val="none" w:color="000000" w:sz="0" w:space="0"/>
          <w:right w:val="none" w:color="000000" w:sz="0" w:space="0"/>
        </w:pBdr>
        <w:shd w:val="clear" w:color="auto" w:fill="FFFFFF"/>
        <w:spacing w:before="0" w:beforeAutospacing="0" w:after="0" w:afterAutospacing="0" w:line="420" w:lineRule="exact"/>
        <w:ind w:left="0" w:right="0" w:firstLine="482"/>
        <w:jc w:val="both"/>
        <w:rPr>
          <w:rFonts w:hint="eastAsia" w:ascii="宋体" w:hAnsi="宋体" w:eastAsia="宋体" w:cs="宋体"/>
          <w:b/>
          <w:bCs w:val="0"/>
          <w:color w:val="000000"/>
          <w:sz w:val="24"/>
          <w:szCs w:val="24"/>
          <w:highlight w:val="none"/>
          <w:shd w:val="clear" w:color="auto" w:fill="auto"/>
          <w:lang w:val="en-US" w:eastAsia="zh-CN" w:bidi="ar-SA"/>
        </w:rPr>
      </w:pPr>
      <w:bookmarkStart w:id="103" w:name="_Toc120614218"/>
      <w:bookmarkStart w:id="104" w:name="_Toc513029229"/>
      <w:bookmarkStart w:id="105" w:name="_Toc20823301"/>
      <w:bookmarkStart w:id="106" w:name="_Toc16938545"/>
      <w:r>
        <w:rPr>
          <w:rFonts w:hint="eastAsia" w:ascii="宋体" w:hAnsi="宋体" w:eastAsia="宋体" w:cs="宋体"/>
          <w:b/>
          <w:bCs w:val="0"/>
          <w:color w:val="000000"/>
          <w:sz w:val="24"/>
          <w:szCs w:val="24"/>
          <w:highlight w:val="none"/>
          <w:shd w:val="clear" w:color="auto" w:fill="auto"/>
          <w:lang w:val="en-US" w:eastAsia="zh-CN" w:bidi="ar-SA"/>
        </w:rPr>
        <w:t>五、响应文件的解密与评审</w:t>
      </w:r>
      <w:bookmarkEnd w:id="103"/>
      <w:bookmarkEnd w:id="104"/>
      <w:bookmarkEnd w:id="105"/>
      <w:bookmarkEnd w:id="106"/>
    </w:p>
    <w:p w14:paraId="6D40C951">
      <w:pPr>
        <w:pStyle w:val="212"/>
        <w:keepNext/>
        <w:keepLines/>
        <w:pageBreakBefore w:val="0"/>
        <w:widowControl w:val="0"/>
        <w:spacing w:before="0" w:beforeAutospacing="0" w:after="0" w:afterAutospacing="0" w:line="420" w:lineRule="exact"/>
        <w:ind w:firstLine="420"/>
        <w:jc w:val="both"/>
        <w:rPr>
          <w:rFonts w:hint="eastAsia" w:ascii="宋体" w:hAnsi="宋体" w:eastAsia="宋体" w:cs="宋体"/>
          <w:color w:val="000000"/>
          <w:sz w:val="24"/>
          <w:szCs w:val="24"/>
          <w:highlight w:val="none"/>
          <w:shd w:val="clear" w:color="auto" w:fill="auto"/>
        </w:rPr>
      </w:pPr>
      <w:bookmarkStart w:id="107" w:name="_Toc20823302"/>
      <w:bookmarkStart w:id="108" w:name="_Toc513029230"/>
      <w:bookmarkStart w:id="109" w:name="_Toc16938546"/>
      <w:r>
        <w:rPr>
          <w:rFonts w:hint="eastAsia" w:ascii="宋体" w:hAnsi="宋体" w:eastAsia="宋体" w:cs="宋体"/>
          <w:color w:val="000000"/>
          <w:sz w:val="24"/>
          <w:szCs w:val="24"/>
          <w:highlight w:val="none"/>
          <w:shd w:val="clear" w:color="auto" w:fill="auto"/>
        </w:rPr>
        <w:t>22、</w:t>
      </w:r>
      <w:bookmarkEnd w:id="107"/>
      <w:bookmarkEnd w:id="108"/>
      <w:bookmarkEnd w:id="109"/>
      <w:r>
        <w:rPr>
          <w:rFonts w:hint="eastAsia" w:ascii="宋体" w:hAnsi="宋体" w:eastAsia="宋体" w:cs="宋体"/>
          <w:color w:val="000000"/>
          <w:sz w:val="24"/>
          <w:szCs w:val="24"/>
          <w:highlight w:val="none"/>
          <w:shd w:val="clear" w:color="auto" w:fill="auto"/>
        </w:rPr>
        <w:t>响应文件解密</w:t>
      </w:r>
    </w:p>
    <w:p w14:paraId="363676EA">
      <w:pPr>
        <w:pStyle w:val="212"/>
        <w:pageBreakBefore w:val="0"/>
        <w:widowControl w:val="0"/>
        <w:spacing w:before="0" w:beforeAutospacing="0" w:after="0" w:afterAutospacing="0" w:line="420" w:lineRule="exact"/>
        <w:ind w:firstLine="360"/>
        <w:jc w:val="both"/>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22.1供应商应当按照《操作手册》规定，在苏采云系统规定的时间内对询价响应文件进行解密。</w:t>
      </w:r>
    </w:p>
    <w:p w14:paraId="22771FF5">
      <w:pPr>
        <w:pStyle w:val="212"/>
        <w:keepNext/>
        <w:keepLines/>
        <w:pageBreakBefore w:val="0"/>
        <w:widowControl w:val="0"/>
        <w:spacing w:before="0" w:beforeAutospacing="0" w:after="0" w:afterAutospacing="0" w:line="420" w:lineRule="exact"/>
        <w:ind w:firstLine="420"/>
        <w:jc w:val="both"/>
        <w:rPr>
          <w:rFonts w:hint="eastAsia" w:ascii="宋体" w:hAnsi="宋体" w:eastAsia="宋体" w:cs="宋体"/>
          <w:color w:val="000000"/>
          <w:sz w:val="24"/>
          <w:szCs w:val="24"/>
          <w:highlight w:val="none"/>
          <w:shd w:val="clear" w:color="auto" w:fill="auto"/>
        </w:rPr>
      </w:pPr>
      <w:bookmarkStart w:id="110" w:name="_Toc16938547"/>
      <w:bookmarkStart w:id="111" w:name="_Toc513029231"/>
      <w:bookmarkStart w:id="112" w:name="_Toc20823303"/>
      <w:r>
        <w:rPr>
          <w:rFonts w:hint="eastAsia" w:ascii="宋体" w:hAnsi="宋体" w:eastAsia="宋体" w:cs="宋体"/>
          <w:color w:val="000000"/>
          <w:sz w:val="24"/>
          <w:szCs w:val="24"/>
          <w:highlight w:val="none"/>
          <w:shd w:val="clear" w:color="auto" w:fill="auto"/>
        </w:rPr>
        <w:t>23、询价小组</w:t>
      </w:r>
      <w:bookmarkEnd w:id="110"/>
      <w:bookmarkEnd w:id="111"/>
      <w:bookmarkEnd w:id="112"/>
    </w:p>
    <w:p w14:paraId="315CF8BF">
      <w:pPr>
        <w:pStyle w:val="212"/>
        <w:pageBreakBefore w:val="0"/>
        <w:widowControl w:val="0"/>
        <w:spacing w:before="0" w:beforeAutospacing="0" w:after="0" w:afterAutospacing="0" w:line="420" w:lineRule="exact"/>
        <w:jc w:val="both"/>
        <w:rPr>
          <w:rFonts w:hint="eastAsia" w:ascii="宋体" w:hAnsi="宋体" w:eastAsia="宋体" w:cs="宋体"/>
          <w:color w:val="000000"/>
          <w:sz w:val="24"/>
          <w:szCs w:val="24"/>
          <w:highlight w:val="none"/>
          <w:shd w:val="clear" w:color="auto" w:fill="auto"/>
        </w:rPr>
      </w:pPr>
      <w:r>
        <w:rPr>
          <w:rFonts w:hint="eastAsia" w:ascii="宋体" w:hAnsi="宋体" w:eastAsia="宋体" w:cs="宋体"/>
          <w:b/>
          <w:color w:val="000000"/>
          <w:sz w:val="24"/>
          <w:szCs w:val="24"/>
          <w:highlight w:val="none"/>
          <w:shd w:val="clear" w:color="auto" w:fill="auto"/>
        </w:rPr>
        <w:t xml:space="preserve">  </w:t>
      </w:r>
      <w:r>
        <w:rPr>
          <w:rFonts w:hint="eastAsia" w:ascii="宋体" w:hAnsi="宋体" w:eastAsia="宋体" w:cs="宋体"/>
          <w:color w:val="000000"/>
          <w:sz w:val="24"/>
          <w:szCs w:val="24"/>
          <w:highlight w:val="none"/>
          <w:shd w:val="clear" w:color="auto" w:fill="auto"/>
        </w:rPr>
        <w:t>23.1</w:t>
      </w:r>
      <w:r>
        <w:rPr>
          <w:rFonts w:hint="eastAsia" w:eastAsia="宋体" w:cs="宋体"/>
          <w:color w:val="000000"/>
          <w:sz w:val="24"/>
          <w:szCs w:val="24"/>
          <w:highlight w:val="none"/>
          <w:shd w:val="clear" w:color="auto" w:fill="auto"/>
          <w:lang w:eastAsia="zh-CN"/>
        </w:rPr>
        <w:t>采购代理机构</w:t>
      </w:r>
      <w:r>
        <w:rPr>
          <w:rFonts w:hint="eastAsia" w:ascii="宋体" w:hAnsi="宋体" w:eastAsia="宋体" w:cs="宋体"/>
          <w:color w:val="000000"/>
          <w:sz w:val="24"/>
          <w:szCs w:val="24"/>
          <w:highlight w:val="none"/>
          <w:shd w:val="clear" w:color="auto" w:fill="auto"/>
        </w:rPr>
        <w:t>将组织询价小组对响应文件进行评审。询价小组由采购人代表和有关技术、经济等方面的专家组成，且人员构成符合政府采购有关规定。</w:t>
      </w:r>
    </w:p>
    <w:p w14:paraId="2D4C5AAC">
      <w:pPr>
        <w:pStyle w:val="212"/>
        <w:pageBreakBefore w:val="0"/>
        <w:widowControl w:val="0"/>
        <w:spacing w:before="0" w:beforeAutospacing="0" w:after="0" w:afterAutospacing="0" w:line="420" w:lineRule="exact"/>
        <w:jc w:val="both"/>
        <w:rPr>
          <w:rFonts w:hint="eastAsia" w:ascii="宋体" w:hAnsi="宋体" w:eastAsia="宋体" w:cs="宋体"/>
          <w:color w:val="000000"/>
          <w:sz w:val="24"/>
          <w:szCs w:val="24"/>
          <w:highlight w:val="none"/>
          <w:shd w:val="clear" w:color="auto" w:fill="auto"/>
        </w:rPr>
      </w:pPr>
      <w:r>
        <w:rPr>
          <w:rFonts w:hint="eastAsia" w:ascii="宋体" w:hAnsi="宋体" w:eastAsia="宋体" w:cs="宋体"/>
          <w:b/>
          <w:color w:val="000000"/>
          <w:sz w:val="24"/>
          <w:szCs w:val="24"/>
          <w:highlight w:val="none"/>
          <w:shd w:val="clear" w:color="auto" w:fill="auto"/>
        </w:rPr>
        <w:t xml:space="preserve">  </w:t>
      </w:r>
      <w:r>
        <w:rPr>
          <w:rFonts w:hint="eastAsia" w:ascii="宋体" w:hAnsi="宋体" w:eastAsia="宋体" w:cs="宋体"/>
          <w:color w:val="000000"/>
          <w:sz w:val="24"/>
          <w:szCs w:val="24"/>
          <w:highlight w:val="none"/>
          <w:shd w:val="clear" w:color="auto" w:fill="auto"/>
        </w:rPr>
        <w:t>23.2询价小组独立工作，负责评审所有响应文件并确定成交</w:t>
      </w:r>
      <w:r>
        <w:rPr>
          <w:rFonts w:hint="eastAsia" w:eastAsia="宋体" w:cs="宋体"/>
          <w:color w:val="000000"/>
          <w:sz w:val="24"/>
          <w:szCs w:val="24"/>
          <w:highlight w:val="none"/>
          <w:shd w:val="clear" w:color="auto" w:fill="auto"/>
          <w:lang w:eastAsia="zh-CN"/>
        </w:rPr>
        <w:t>候选人</w:t>
      </w:r>
      <w:r>
        <w:rPr>
          <w:rFonts w:hint="eastAsia" w:ascii="宋体" w:hAnsi="宋体" w:eastAsia="宋体" w:cs="宋体"/>
          <w:color w:val="000000"/>
          <w:sz w:val="24"/>
          <w:szCs w:val="24"/>
          <w:highlight w:val="none"/>
          <w:shd w:val="clear" w:color="auto" w:fill="auto"/>
        </w:rPr>
        <w:t>。</w:t>
      </w:r>
    </w:p>
    <w:p w14:paraId="31AAC5AC">
      <w:pPr>
        <w:pStyle w:val="212"/>
        <w:keepNext/>
        <w:keepLines/>
        <w:pageBreakBefore w:val="0"/>
        <w:widowControl w:val="0"/>
        <w:spacing w:before="0" w:beforeAutospacing="0" w:after="0" w:afterAutospacing="0" w:line="420" w:lineRule="exact"/>
        <w:ind w:firstLine="420"/>
        <w:jc w:val="both"/>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24、评审过程的保密与公正</w:t>
      </w:r>
    </w:p>
    <w:p w14:paraId="221209BB">
      <w:pPr>
        <w:pStyle w:val="212"/>
        <w:pageBreakBefore w:val="0"/>
        <w:widowControl w:val="0"/>
        <w:spacing w:before="0" w:beforeAutospacing="0" w:after="0" w:afterAutospacing="0" w:line="420" w:lineRule="exact"/>
        <w:ind w:firstLine="480"/>
        <w:jc w:val="both"/>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24.1询价小组、采购人和</w:t>
      </w:r>
      <w:r>
        <w:rPr>
          <w:rFonts w:hint="eastAsia" w:eastAsia="宋体" w:cs="宋体"/>
          <w:color w:val="000000"/>
          <w:sz w:val="24"/>
          <w:szCs w:val="24"/>
          <w:highlight w:val="none"/>
          <w:shd w:val="clear" w:color="auto" w:fill="auto"/>
          <w:lang w:eastAsia="zh-CN"/>
        </w:rPr>
        <w:t>采购代理机构</w:t>
      </w:r>
      <w:r>
        <w:rPr>
          <w:rFonts w:hint="eastAsia" w:ascii="宋体" w:hAnsi="宋体" w:eastAsia="宋体" w:cs="宋体"/>
          <w:color w:val="000000"/>
          <w:sz w:val="24"/>
          <w:szCs w:val="24"/>
          <w:highlight w:val="none"/>
          <w:shd w:val="clear" w:color="auto" w:fill="auto"/>
        </w:rPr>
        <w:t>工作人员、相关监督人员等与评审工作有关的人员，对评审情况以及在评审过程中获悉的国家秘密、商业秘密负有保密责任。</w:t>
      </w:r>
    </w:p>
    <w:p w14:paraId="1255DB5D">
      <w:pPr>
        <w:pStyle w:val="212"/>
        <w:pageBreakBefore w:val="0"/>
        <w:widowControl w:val="0"/>
        <w:spacing w:before="0" w:beforeAutospacing="0" w:after="0" w:afterAutospacing="0" w:line="420" w:lineRule="exact"/>
        <w:ind w:firstLine="480"/>
        <w:jc w:val="both"/>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24.2在评审过程中，供应商不得以任何行为影响询价评审过程，否则其响应文件将被作为无效响应文件。</w:t>
      </w:r>
    </w:p>
    <w:p w14:paraId="361BB9FF">
      <w:pPr>
        <w:pStyle w:val="212"/>
        <w:pageBreakBefore w:val="0"/>
        <w:widowControl w:val="0"/>
        <w:spacing w:before="0" w:beforeAutospacing="0" w:after="0" w:afterAutospacing="0" w:line="420" w:lineRule="exact"/>
        <w:ind w:firstLine="480"/>
        <w:jc w:val="both"/>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24.3在项目评审期间，</w:t>
      </w:r>
      <w:r>
        <w:rPr>
          <w:rFonts w:hint="eastAsia" w:eastAsia="宋体" w:cs="宋体"/>
          <w:color w:val="000000"/>
          <w:sz w:val="24"/>
          <w:szCs w:val="24"/>
          <w:highlight w:val="none"/>
          <w:shd w:val="clear" w:color="auto" w:fill="auto"/>
          <w:lang w:eastAsia="zh-CN"/>
        </w:rPr>
        <w:t>采购代理机构</w:t>
      </w:r>
      <w:r>
        <w:rPr>
          <w:rFonts w:hint="eastAsia" w:ascii="宋体" w:hAnsi="宋体" w:eastAsia="宋体" w:cs="宋体"/>
          <w:color w:val="000000"/>
          <w:sz w:val="24"/>
          <w:szCs w:val="24"/>
          <w:highlight w:val="none"/>
          <w:shd w:val="clear" w:color="auto" w:fill="auto"/>
        </w:rPr>
        <w:t>将设专门人员与供应商联系。</w:t>
      </w:r>
    </w:p>
    <w:p w14:paraId="28BB28C9">
      <w:pPr>
        <w:pStyle w:val="212"/>
        <w:pageBreakBefore w:val="0"/>
        <w:widowControl w:val="0"/>
        <w:spacing w:before="0" w:beforeAutospacing="0" w:after="0" w:afterAutospacing="0" w:line="420" w:lineRule="exact"/>
        <w:ind w:firstLine="480"/>
        <w:jc w:val="both"/>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24.4 </w:t>
      </w:r>
      <w:r>
        <w:rPr>
          <w:rFonts w:hint="eastAsia" w:eastAsia="宋体" w:cs="宋体"/>
          <w:color w:val="000000"/>
          <w:sz w:val="24"/>
          <w:szCs w:val="24"/>
          <w:highlight w:val="none"/>
          <w:shd w:val="clear" w:color="auto" w:fill="auto"/>
          <w:lang w:eastAsia="zh-CN"/>
        </w:rPr>
        <w:t>采购代理机构</w:t>
      </w:r>
      <w:r>
        <w:rPr>
          <w:rFonts w:hint="eastAsia" w:ascii="宋体" w:hAnsi="宋体" w:eastAsia="宋体" w:cs="宋体"/>
          <w:color w:val="000000"/>
          <w:sz w:val="24"/>
          <w:szCs w:val="24"/>
          <w:highlight w:val="none"/>
          <w:shd w:val="clear" w:color="auto" w:fill="auto"/>
        </w:rPr>
        <w:t>和询价小组不向未成交的供应商解释未成交原因，也不公布评审过程中的相关细节。</w:t>
      </w:r>
      <w:bookmarkStart w:id="113" w:name="_Toc513029232"/>
      <w:bookmarkStart w:id="114" w:name="_Toc16938548"/>
      <w:bookmarkStart w:id="115" w:name="_Toc20823304"/>
    </w:p>
    <w:p w14:paraId="3CE7E891">
      <w:pPr>
        <w:pStyle w:val="212"/>
        <w:pageBreakBefore w:val="0"/>
        <w:widowControl w:val="0"/>
        <w:spacing w:before="0" w:beforeAutospacing="0" w:after="0" w:afterAutospacing="0" w:line="420" w:lineRule="exact"/>
        <w:ind w:firstLine="480"/>
        <w:jc w:val="both"/>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25、评审过程中</w:t>
      </w:r>
      <w:r>
        <w:rPr>
          <w:rFonts w:hint="eastAsia" w:eastAsia="宋体" w:cs="宋体"/>
          <w:color w:val="000000"/>
          <w:sz w:val="24"/>
          <w:szCs w:val="24"/>
          <w:highlight w:val="none"/>
          <w:shd w:val="clear" w:color="auto" w:fill="auto"/>
          <w:lang w:eastAsia="zh-CN"/>
        </w:rPr>
        <w:t>的</w:t>
      </w:r>
      <w:r>
        <w:rPr>
          <w:rFonts w:hint="eastAsia" w:ascii="宋体" w:hAnsi="宋体" w:eastAsia="宋体" w:cs="宋体"/>
          <w:color w:val="000000"/>
          <w:sz w:val="24"/>
          <w:szCs w:val="24"/>
          <w:highlight w:val="none"/>
          <w:shd w:val="clear" w:color="auto" w:fill="auto"/>
        </w:rPr>
        <w:t>澄清</w:t>
      </w:r>
      <w:bookmarkEnd w:id="113"/>
      <w:bookmarkEnd w:id="114"/>
      <w:bookmarkEnd w:id="115"/>
    </w:p>
    <w:p w14:paraId="07F2A14F">
      <w:pPr>
        <w:pStyle w:val="212"/>
        <w:pageBreakBefore w:val="0"/>
        <w:widowControl w:val="0"/>
        <w:spacing w:before="0" w:beforeAutospacing="0" w:after="0" w:afterAutospacing="0" w:line="420" w:lineRule="exact"/>
        <w:ind w:firstLine="480"/>
        <w:jc w:val="both"/>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25.1项目评审期间，询价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询价小组并非对每个供应商都作澄清要求。</w:t>
      </w:r>
    </w:p>
    <w:p w14:paraId="0FEBCE7D">
      <w:pPr>
        <w:pStyle w:val="212"/>
        <w:pageBreakBefore w:val="0"/>
        <w:widowControl w:val="0"/>
        <w:spacing w:before="0" w:beforeAutospacing="0" w:after="0" w:afterAutospacing="0" w:line="420" w:lineRule="exact"/>
        <w:ind w:firstLine="480"/>
        <w:jc w:val="both"/>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25.2需要供应商进行澄清、说明和更正的，询价小组将通过苏采云系统向供应商发布“澄清要求函”，接到“澄清要求函”的供应商应当按照要求在苏采云系统中提交“澄清响应函”并加盖CA电子公章。澄清、说明和更正的内容作为响应文件的补充部分，具体操作方式见《操作手册》。</w:t>
      </w:r>
    </w:p>
    <w:p w14:paraId="3BA13DA4">
      <w:pPr>
        <w:pStyle w:val="212"/>
        <w:pageBreakBefore w:val="0"/>
        <w:widowControl w:val="0"/>
        <w:spacing w:before="0" w:beforeAutospacing="0" w:after="0" w:afterAutospacing="0" w:line="420" w:lineRule="exact"/>
        <w:ind w:firstLine="480"/>
        <w:jc w:val="both"/>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25.3 接到询价小组澄清、说明和更正要求的供应商如未按规定</w:t>
      </w:r>
      <w:r>
        <w:rPr>
          <w:rFonts w:hint="eastAsia" w:eastAsia="宋体" w:cs="宋体"/>
          <w:color w:val="000000"/>
          <w:sz w:val="24"/>
          <w:szCs w:val="24"/>
          <w:highlight w:val="none"/>
          <w:shd w:val="clear" w:color="auto" w:fill="auto"/>
          <w:lang w:eastAsia="zh-CN"/>
        </w:rPr>
        <w:t>作出</w:t>
      </w:r>
      <w:r>
        <w:rPr>
          <w:rFonts w:hint="eastAsia" w:ascii="宋体" w:hAnsi="宋体" w:eastAsia="宋体" w:cs="宋体"/>
          <w:color w:val="000000"/>
          <w:sz w:val="24"/>
          <w:szCs w:val="24"/>
          <w:highlight w:val="none"/>
          <w:shd w:val="clear" w:color="auto" w:fill="auto"/>
        </w:rPr>
        <w:t>澄清、说明和 更正，其风险由供应商自行承担。</w:t>
      </w:r>
      <w:bookmarkStart w:id="116" w:name="_Toc20823305"/>
      <w:bookmarkStart w:id="117" w:name="_Toc513029233"/>
      <w:bookmarkStart w:id="118" w:name="_Toc16938549"/>
    </w:p>
    <w:p w14:paraId="7A4FBA65">
      <w:pPr>
        <w:pStyle w:val="212"/>
        <w:pageBreakBefore w:val="0"/>
        <w:widowControl w:val="0"/>
        <w:spacing w:before="0" w:beforeAutospacing="0" w:after="0" w:afterAutospacing="0" w:line="420" w:lineRule="exact"/>
        <w:ind w:firstLine="480"/>
        <w:jc w:val="both"/>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26、对响应文件的审</w:t>
      </w:r>
      <w:bookmarkEnd w:id="116"/>
      <w:bookmarkEnd w:id="117"/>
      <w:bookmarkEnd w:id="118"/>
      <w:r>
        <w:rPr>
          <w:rFonts w:hint="eastAsia" w:ascii="宋体" w:hAnsi="宋体" w:eastAsia="宋体" w:cs="宋体"/>
          <w:color w:val="000000"/>
          <w:sz w:val="24"/>
          <w:szCs w:val="24"/>
          <w:highlight w:val="none"/>
          <w:shd w:val="clear" w:color="auto" w:fill="auto"/>
        </w:rPr>
        <w:t>查</w:t>
      </w:r>
    </w:p>
    <w:p w14:paraId="3B6561E4">
      <w:pPr>
        <w:pStyle w:val="212"/>
        <w:pageBreakBefore w:val="0"/>
        <w:widowControl w:val="0"/>
        <w:spacing w:before="0" w:beforeAutospacing="0" w:after="0" w:afterAutospacing="0" w:line="420" w:lineRule="exact"/>
        <w:ind w:firstLine="480"/>
        <w:jc w:val="both"/>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26.1响应文件审查分为资格审查和符合性审查。</w:t>
      </w:r>
    </w:p>
    <w:p w14:paraId="46E1D33F">
      <w:pPr>
        <w:pStyle w:val="212"/>
        <w:pageBreakBefore w:val="0"/>
        <w:widowControl w:val="0"/>
        <w:spacing w:before="0" w:beforeAutospacing="0" w:after="0" w:afterAutospacing="0" w:line="420" w:lineRule="exact"/>
        <w:ind w:firstLine="480"/>
        <w:jc w:val="both"/>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26.1.1 资格审查：由询价小组依据法律法规和询价文件的规定，对响应文件中的资格证明文件进行审查，以确定供应商是否具备参加询价的资格。</w:t>
      </w:r>
    </w:p>
    <w:p w14:paraId="411E32D5">
      <w:pPr>
        <w:pStyle w:val="212"/>
        <w:keepNext/>
        <w:keepLines/>
        <w:pageBreakBefore w:val="0"/>
        <w:widowControl w:val="0"/>
        <w:spacing w:before="0" w:beforeAutospacing="0" w:after="0" w:afterAutospacing="0" w:line="420" w:lineRule="exact"/>
        <w:ind w:firstLine="420"/>
        <w:jc w:val="both"/>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采购人在进行资格审查的同时，将在“信用中国”网站对供应商是否被列入失信被执行人、重大税收违法案件当事人名单、政府采购严重失信行为记录名单情况进行查询，以确定供应商是否具备参加询价的资格。查询结果将以网页打印的形式留存并归档。</w:t>
      </w:r>
    </w:p>
    <w:p w14:paraId="237AFE8C">
      <w:pPr>
        <w:pStyle w:val="212"/>
        <w:pageBreakBefore w:val="0"/>
        <w:widowControl w:val="0"/>
        <w:spacing w:before="0" w:beforeAutospacing="0" w:after="0" w:afterAutospacing="0" w:line="420" w:lineRule="exact"/>
        <w:ind w:firstLine="480"/>
        <w:jc w:val="both"/>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接受联合体的项目，两个以上的自然人、法人或者其他组织组成一个联合体，以一个供应商的身份共同参加政府采购活动的,联合体成员中任何一方存在不良信用记录的，视同联合体存在不良应用记录。</w:t>
      </w:r>
    </w:p>
    <w:p w14:paraId="2C50DA4E">
      <w:pPr>
        <w:pStyle w:val="212"/>
        <w:pageBreakBefore w:val="0"/>
        <w:widowControl w:val="0"/>
        <w:spacing w:before="0" w:beforeAutospacing="0" w:after="0" w:afterAutospacing="0" w:line="420" w:lineRule="exact"/>
        <w:ind w:firstLine="480"/>
        <w:jc w:val="both"/>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资格性审查未通过的响应供应商作无效响应处理。</w:t>
      </w:r>
    </w:p>
    <w:p w14:paraId="6743A0D5">
      <w:pPr>
        <w:pStyle w:val="212"/>
        <w:pageBreakBefore w:val="0"/>
        <w:widowControl w:val="0"/>
        <w:spacing w:before="0" w:beforeAutospacing="0" w:after="0" w:afterAutospacing="0" w:line="420" w:lineRule="exact"/>
        <w:ind w:firstLine="480"/>
        <w:jc w:val="both"/>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26.1.2 符合性审查：依据询价文件的规定，由询价小组从响应文件的有效性、完整性和对询价文件的响应程度进行审查，以确定是否对询价文件的实质性要求作出响应。</w:t>
      </w:r>
    </w:p>
    <w:p w14:paraId="186AC8DC">
      <w:pPr>
        <w:pStyle w:val="212"/>
        <w:pageBreakBefore w:val="0"/>
        <w:widowControl w:val="0"/>
        <w:spacing w:before="0" w:beforeAutospacing="0" w:after="0" w:afterAutospacing="0" w:line="420" w:lineRule="exact"/>
        <w:ind w:firstLine="480"/>
        <w:jc w:val="both"/>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26.1.3 未通过资格审查或符合性审查的供应商，询价小组将在苏采云系统中告知未通过资格审查或符合性审查的原因，评审结束后，询价小组将不再告知未通过资格审查或符合性审查的原因。</w:t>
      </w:r>
    </w:p>
    <w:p w14:paraId="596546AD">
      <w:pPr>
        <w:pStyle w:val="212"/>
        <w:pageBreakBefore w:val="0"/>
        <w:widowControl w:val="0"/>
        <w:spacing w:before="0" w:beforeAutospacing="0" w:after="0" w:afterAutospacing="0" w:line="420" w:lineRule="exact"/>
        <w:ind w:firstLine="480"/>
        <w:jc w:val="both"/>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26.2在详细评审之前，询价小组将首先审查每份响应文件是否实质性响应了询价文件的要求。实质性响应的响应文件应该是与询价文件要求的条款、条件和规格相符，没有重大偏离或保留。</w:t>
      </w:r>
    </w:p>
    <w:p w14:paraId="2370521F">
      <w:pPr>
        <w:pStyle w:val="212"/>
        <w:pageBreakBefore w:val="0"/>
        <w:widowControl w:val="0"/>
        <w:spacing w:before="0" w:beforeAutospacing="0" w:after="0" w:afterAutospacing="0" w:line="420" w:lineRule="exact"/>
        <w:ind w:firstLine="480"/>
        <w:jc w:val="both"/>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所谓重大偏离或保留是指与询价文件规定的实质性要求存在负偏离，或者在实质上与询价文件不一致，而且限制了合同中买方和</w:t>
      </w:r>
      <w:r>
        <w:rPr>
          <w:rFonts w:hint="eastAsia" w:eastAsia="宋体" w:cs="宋体"/>
          <w:color w:val="000000"/>
          <w:sz w:val="24"/>
          <w:szCs w:val="24"/>
          <w:highlight w:val="none"/>
          <w:shd w:val="clear" w:color="auto" w:fill="auto"/>
          <w:lang w:eastAsia="zh-CN"/>
        </w:rPr>
        <w:t>采购代理机构</w:t>
      </w:r>
      <w:r>
        <w:rPr>
          <w:rFonts w:hint="eastAsia" w:ascii="宋体" w:hAnsi="宋体" w:eastAsia="宋体" w:cs="宋体"/>
          <w:color w:val="000000"/>
          <w:sz w:val="24"/>
          <w:szCs w:val="24"/>
          <w:highlight w:val="none"/>
          <w:shd w:val="clear" w:color="auto" w:fill="auto"/>
        </w:rPr>
        <w:t>的权利或供应商的义务，纠正这些偏离或保留将会对其他实质性响应要求的供应商的竞争地位产生不公正的影响。重大偏离由询价小组按照少数服从多数的原则认定。询价小组决定响应文件的响应性只根据响应文件本身的内容，而不寻求外部的证据。</w:t>
      </w:r>
    </w:p>
    <w:p w14:paraId="7B96866A">
      <w:pPr>
        <w:pStyle w:val="212"/>
        <w:pageBreakBefore w:val="0"/>
        <w:widowControl w:val="0"/>
        <w:spacing w:before="0" w:beforeAutospacing="0" w:after="0" w:afterAutospacing="0" w:line="420" w:lineRule="exact"/>
        <w:ind w:firstLine="480"/>
        <w:jc w:val="both"/>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26.3如果响应文件实质上没有响应询价文件的要求，询价小组将按无效响应处理，供应商不得通过修改或撤销不合要求的偏离或保留而使其成为实质性响应的文件。</w:t>
      </w:r>
    </w:p>
    <w:p w14:paraId="5A4515FF">
      <w:pPr>
        <w:pStyle w:val="212"/>
        <w:pageBreakBefore w:val="0"/>
        <w:widowControl w:val="0"/>
        <w:spacing w:before="0" w:beforeAutospacing="0" w:after="0" w:afterAutospacing="0" w:line="420" w:lineRule="exact"/>
        <w:ind w:firstLine="480"/>
        <w:jc w:val="both"/>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26.4询价小组将对确定为实质性响应的文件进行进一步审核，看其是否有计算上或累加上的算术错误，修正错误的原则如下：</w:t>
      </w:r>
    </w:p>
    <w:p w14:paraId="2789C313">
      <w:pPr>
        <w:pStyle w:val="212"/>
        <w:pageBreakBefore w:val="0"/>
        <w:widowControl w:val="0"/>
        <w:spacing w:before="0" w:beforeAutospacing="0" w:after="0" w:afterAutospacing="0" w:line="420" w:lineRule="exact"/>
        <w:ind w:firstLine="480"/>
        <w:jc w:val="both"/>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（1）响应文件中询价报价表内容与响应文件中相应内容不一致的，以询价报价表为准。</w:t>
      </w:r>
    </w:p>
    <w:p w14:paraId="4F224328">
      <w:pPr>
        <w:pStyle w:val="212"/>
        <w:pageBreakBefore w:val="0"/>
        <w:widowControl w:val="0"/>
        <w:spacing w:before="0" w:beforeAutospacing="0" w:after="0" w:afterAutospacing="0" w:line="420" w:lineRule="exact"/>
        <w:ind w:firstLine="480"/>
        <w:jc w:val="both"/>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（2）大写金额和小写金额不一致的，以大写金额为准。</w:t>
      </w:r>
    </w:p>
    <w:p w14:paraId="30FF7DC3">
      <w:pPr>
        <w:pStyle w:val="212"/>
        <w:pageBreakBefore w:val="0"/>
        <w:widowControl w:val="0"/>
        <w:spacing w:before="0" w:beforeAutospacing="0" w:after="0" w:afterAutospacing="0" w:line="420" w:lineRule="exact"/>
        <w:ind w:firstLine="480"/>
        <w:jc w:val="both"/>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（3）单价金额小数点或者百分比有明显错位的，以询价报价表的总价为准，并修改单价。</w:t>
      </w:r>
    </w:p>
    <w:p w14:paraId="031E93E5">
      <w:pPr>
        <w:pStyle w:val="212"/>
        <w:pageBreakBefore w:val="0"/>
        <w:widowControl w:val="0"/>
        <w:spacing w:before="0" w:beforeAutospacing="0" w:after="0" w:afterAutospacing="0" w:line="420" w:lineRule="exact"/>
        <w:ind w:firstLine="480"/>
        <w:jc w:val="both"/>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（4）总价金额与按单价汇总金额不一致的，以单价金额计算结果为准。</w:t>
      </w:r>
    </w:p>
    <w:p w14:paraId="7A015FAC">
      <w:pPr>
        <w:pStyle w:val="212"/>
        <w:pageBreakBefore w:val="0"/>
        <w:widowControl w:val="0"/>
        <w:spacing w:before="0" w:beforeAutospacing="0" w:after="0" w:afterAutospacing="0" w:line="420" w:lineRule="exact"/>
        <w:ind w:firstLine="480"/>
        <w:jc w:val="both"/>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同时出现两种以上错误的，按照前款规定的顺序修正。</w:t>
      </w:r>
    </w:p>
    <w:p w14:paraId="342DAFAD">
      <w:pPr>
        <w:pStyle w:val="212"/>
        <w:pageBreakBefore w:val="0"/>
        <w:widowControl w:val="0"/>
        <w:spacing w:before="0" w:beforeAutospacing="0" w:after="0" w:afterAutospacing="0" w:line="420" w:lineRule="exact"/>
        <w:ind w:firstLine="480"/>
        <w:jc w:val="both"/>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26.5询价小组将按上述修正错误的方法调整响应文件中的报价，并通过“苏采云系统”告知供应商，调整后的价格应对供应商具有约束力。如果供应商不接受修正后的价格，则其响应将被拒绝。</w:t>
      </w:r>
    </w:p>
    <w:p w14:paraId="4643CB6A">
      <w:pPr>
        <w:pStyle w:val="212"/>
        <w:pageBreakBefore w:val="0"/>
        <w:widowControl w:val="0"/>
        <w:spacing w:before="0" w:beforeAutospacing="0" w:after="0" w:afterAutospacing="0" w:line="420" w:lineRule="exact"/>
        <w:ind w:firstLine="480"/>
        <w:jc w:val="both"/>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26.</w:t>
      </w:r>
      <w:r>
        <w:rPr>
          <w:rFonts w:hint="eastAsia" w:eastAsia="宋体" w:cs="宋体"/>
          <w:color w:val="000000"/>
          <w:sz w:val="24"/>
          <w:szCs w:val="24"/>
          <w:highlight w:val="none"/>
          <w:shd w:val="clear" w:color="auto" w:fill="auto"/>
          <w:lang w:val="en-US" w:eastAsia="zh-CN"/>
        </w:rPr>
        <w:t>6</w:t>
      </w:r>
      <w:r>
        <w:rPr>
          <w:rFonts w:hint="eastAsia" w:ascii="宋体" w:hAnsi="宋体" w:eastAsia="宋体" w:cs="宋体"/>
          <w:color w:val="000000"/>
          <w:sz w:val="24"/>
          <w:szCs w:val="24"/>
          <w:highlight w:val="none"/>
          <w:shd w:val="clear" w:color="auto" w:fill="auto"/>
        </w:rPr>
        <w:t>出现下列情形之一的，作无效响应处理。</w:t>
      </w:r>
    </w:p>
    <w:p w14:paraId="10DF4F40">
      <w:pPr>
        <w:pStyle w:val="212"/>
        <w:pageBreakBefore w:val="0"/>
        <w:widowControl w:val="0"/>
        <w:spacing w:before="0" w:beforeAutospacing="0" w:after="0" w:afterAutospacing="0" w:line="420" w:lineRule="exact"/>
        <w:ind w:firstLine="480"/>
        <w:jc w:val="both"/>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26.</w:t>
      </w:r>
      <w:r>
        <w:rPr>
          <w:rFonts w:hint="eastAsia" w:eastAsia="宋体" w:cs="宋体"/>
          <w:color w:val="000000"/>
          <w:sz w:val="24"/>
          <w:szCs w:val="24"/>
          <w:highlight w:val="none"/>
          <w:shd w:val="clear" w:color="auto" w:fill="auto"/>
          <w:lang w:val="en-US" w:eastAsia="zh-CN"/>
        </w:rPr>
        <w:t>6</w:t>
      </w:r>
      <w:r>
        <w:rPr>
          <w:rFonts w:hint="eastAsia" w:ascii="宋体" w:hAnsi="宋体" w:eastAsia="宋体" w:cs="宋体"/>
          <w:color w:val="000000"/>
          <w:sz w:val="24"/>
          <w:szCs w:val="24"/>
          <w:highlight w:val="none"/>
          <w:shd w:val="clear" w:color="auto" w:fill="auto"/>
        </w:rPr>
        <w:t>.1供应商在苏采云系统规定的时间内未成功解密电子响应文件的。</w:t>
      </w:r>
    </w:p>
    <w:p w14:paraId="26F3BBFD">
      <w:pPr>
        <w:pStyle w:val="212"/>
        <w:pageBreakBefore w:val="0"/>
        <w:widowControl w:val="0"/>
        <w:spacing w:before="0" w:beforeAutospacing="0" w:after="0" w:afterAutospacing="0" w:line="420" w:lineRule="exact"/>
        <w:ind w:firstLine="480"/>
        <w:jc w:val="both"/>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26.</w:t>
      </w:r>
      <w:r>
        <w:rPr>
          <w:rFonts w:hint="eastAsia" w:eastAsia="宋体" w:cs="宋体"/>
          <w:color w:val="000000"/>
          <w:sz w:val="24"/>
          <w:szCs w:val="24"/>
          <w:highlight w:val="none"/>
          <w:shd w:val="clear" w:color="auto" w:fill="auto"/>
          <w:lang w:val="en-US" w:eastAsia="zh-CN"/>
        </w:rPr>
        <w:t>6</w:t>
      </w:r>
      <w:r>
        <w:rPr>
          <w:rFonts w:hint="eastAsia" w:ascii="宋体" w:hAnsi="宋体" w:eastAsia="宋体" w:cs="宋体"/>
          <w:color w:val="000000"/>
          <w:sz w:val="24"/>
          <w:szCs w:val="24"/>
          <w:highlight w:val="none"/>
          <w:shd w:val="clear" w:color="auto" w:fill="auto"/>
        </w:rPr>
        <w:t>.2供应商未按照询价文件要求上传电子响应文件的。</w:t>
      </w:r>
    </w:p>
    <w:p w14:paraId="500580CA">
      <w:pPr>
        <w:pStyle w:val="212"/>
        <w:pageBreakBefore w:val="0"/>
        <w:widowControl w:val="0"/>
        <w:spacing w:before="0" w:beforeAutospacing="0" w:after="0" w:afterAutospacing="0" w:line="420" w:lineRule="exact"/>
        <w:ind w:firstLine="480"/>
        <w:jc w:val="both"/>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26.</w:t>
      </w:r>
      <w:r>
        <w:rPr>
          <w:rFonts w:hint="eastAsia" w:eastAsia="宋体" w:cs="宋体"/>
          <w:color w:val="000000"/>
          <w:sz w:val="24"/>
          <w:szCs w:val="24"/>
          <w:highlight w:val="none"/>
          <w:shd w:val="clear" w:color="auto" w:fill="auto"/>
          <w:lang w:val="en-US" w:eastAsia="zh-CN"/>
        </w:rPr>
        <w:t>6</w:t>
      </w:r>
      <w:r>
        <w:rPr>
          <w:rFonts w:hint="eastAsia" w:ascii="宋体" w:hAnsi="宋体" w:eastAsia="宋体" w:cs="宋体"/>
          <w:color w:val="000000"/>
          <w:sz w:val="24"/>
          <w:szCs w:val="24"/>
          <w:highlight w:val="none"/>
          <w:shd w:val="clear" w:color="auto" w:fill="auto"/>
        </w:rPr>
        <w:t>.3同一供应商提交两个（含两个）以上不同的响应文件或者报价的。</w:t>
      </w:r>
    </w:p>
    <w:p w14:paraId="01E8E8FE">
      <w:pPr>
        <w:pStyle w:val="212"/>
        <w:pageBreakBefore w:val="0"/>
        <w:widowControl w:val="0"/>
        <w:spacing w:before="0" w:beforeAutospacing="0" w:after="0" w:afterAutospacing="0" w:line="420" w:lineRule="exact"/>
        <w:ind w:firstLine="480"/>
        <w:jc w:val="both"/>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26.</w:t>
      </w:r>
      <w:r>
        <w:rPr>
          <w:rFonts w:hint="eastAsia" w:eastAsia="宋体" w:cs="宋体"/>
          <w:color w:val="000000"/>
          <w:sz w:val="24"/>
          <w:szCs w:val="24"/>
          <w:highlight w:val="none"/>
          <w:shd w:val="clear" w:color="auto" w:fill="auto"/>
          <w:lang w:val="en-US" w:eastAsia="zh-CN"/>
        </w:rPr>
        <w:t>6</w:t>
      </w:r>
      <w:r>
        <w:rPr>
          <w:rFonts w:hint="eastAsia" w:ascii="宋体" w:hAnsi="宋体" w:eastAsia="宋体" w:cs="宋体"/>
          <w:color w:val="000000"/>
          <w:sz w:val="24"/>
          <w:szCs w:val="24"/>
          <w:highlight w:val="none"/>
          <w:shd w:val="clear" w:color="auto" w:fill="auto"/>
        </w:rPr>
        <w:t>.4供应商不具备询价文件中规定资格要求的。</w:t>
      </w:r>
    </w:p>
    <w:p w14:paraId="71232091">
      <w:pPr>
        <w:pStyle w:val="212"/>
        <w:pageBreakBefore w:val="0"/>
        <w:widowControl w:val="0"/>
        <w:spacing w:before="0" w:beforeAutospacing="0" w:after="0" w:afterAutospacing="0" w:line="420" w:lineRule="exact"/>
        <w:ind w:firstLine="480"/>
        <w:jc w:val="both"/>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26.</w:t>
      </w:r>
      <w:r>
        <w:rPr>
          <w:rFonts w:hint="eastAsia" w:eastAsia="宋体" w:cs="宋体"/>
          <w:color w:val="000000"/>
          <w:sz w:val="24"/>
          <w:szCs w:val="24"/>
          <w:highlight w:val="none"/>
          <w:shd w:val="clear" w:color="auto" w:fill="auto"/>
          <w:lang w:val="en-US" w:eastAsia="zh-CN"/>
        </w:rPr>
        <w:t>6</w:t>
      </w:r>
      <w:r>
        <w:rPr>
          <w:rFonts w:hint="eastAsia" w:ascii="宋体" w:hAnsi="宋体" w:eastAsia="宋体" w:cs="宋体"/>
          <w:color w:val="000000"/>
          <w:sz w:val="24"/>
          <w:szCs w:val="24"/>
          <w:highlight w:val="none"/>
          <w:shd w:val="clear" w:color="auto" w:fill="auto"/>
        </w:rPr>
        <w:t>.5供应商的报价超过了采购预算。</w:t>
      </w:r>
    </w:p>
    <w:p w14:paraId="4F3F85C9">
      <w:pPr>
        <w:pStyle w:val="212"/>
        <w:pageBreakBefore w:val="0"/>
        <w:widowControl w:val="0"/>
        <w:spacing w:before="0" w:beforeAutospacing="0" w:after="0" w:afterAutospacing="0" w:line="420" w:lineRule="exact"/>
        <w:ind w:firstLine="480"/>
        <w:jc w:val="both"/>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26.</w:t>
      </w:r>
      <w:r>
        <w:rPr>
          <w:rFonts w:hint="eastAsia" w:eastAsia="宋体" w:cs="宋体"/>
          <w:color w:val="000000"/>
          <w:sz w:val="24"/>
          <w:szCs w:val="24"/>
          <w:highlight w:val="none"/>
          <w:shd w:val="clear" w:color="auto" w:fill="auto"/>
          <w:lang w:val="en-US" w:eastAsia="zh-CN"/>
        </w:rPr>
        <w:t>6</w:t>
      </w:r>
      <w:r>
        <w:rPr>
          <w:rFonts w:hint="eastAsia" w:ascii="宋体" w:hAnsi="宋体" w:eastAsia="宋体" w:cs="宋体"/>
          <w:color w:val="000000"/>
          <w:sz w:val="24"/>
          <w:szCs w:val="24"/>
          <w:highlight w:val="none"/>
          <w:shd w:val="clear" w:color="auto" w:fill="auto"/>
        </w:rPr>
        <w:t>.6不符合询价文件中规定的实质性要求和条件的</w:t>
      </w:r>
      <w:r>
        <w:rPr>
          <w:rFonts w:hint="eastAsia" w:ascii="宋体" w:hAnsi="宋体" w:eastAsia="宋体" w:cs="宋体"/>
          <w:i/>
          <w:color w:val="000000"/>
          <w:sz w:val="24"/>
          <w:szCs w:val="24"/>
          <w:highlight w:val="none"/>
          <w:u w:val="single"/>
          <w:shd w:val="clear" w:color="auto" w:fill="auto"/>
        </w:rPr>
        <w:t>（本询价文件中斜体且有下划线部分为实质性要求和条件）。</w:t>
      </w:r>
    </w:p>
    <w:p w14:paraId="7A5269F1">
      <w:pPr>
        <w:pStyle w:val="212"/>
        <w:pageBreakBefore w:val="0"/>
        <w:widowControl w:val="0"/>
        <w:spacing w:before="0" w:beforeAutospacing="0" w:after="0" w:afterAutospacing="0" w:line="420" w:lineRule="exact"/>
        <w:ind w:firstLine="480"/>
        <w:jc w:val="both"/>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26.</w:t>
      </w:r>
      <w:r>
        <w:rPr>
          <w:rFonts w:hint="eastAsia" w:eastAsia="宋体" w:cs="宋体"/>
          <w:color w:val="000000"/>
          <w:sz w:val="24"/>
          <w:szCs w:val="24"/>
          <w:highlight w:val="none"/>
          <w:shd w:val="clear" w:color="auto" w:fill="auto"/>
          <w:lang w:val="en-US" w:eastAsia="zh-CN"/>
        </w:rPr>
        <w:t>6</w:t>
      </w:r>
      <w:r>
        <w:rPr>
          <w:rFonts w:hint="eastAsia" w:ascii="宋体" w:hAnsi="宋体" w:eastAsia="宋体" w:cs="宋体"/>
          <w:color w:val="000000"/>
          <w:sz w:val="24"/>
          <w:szCs w:val="24"/>
          <w:highlight w:val="none"/>
          <w:shd w:val="clear" w:color="auto" w:fill="auto"/>
        </w:rPr>
        <w:t>.7供应商被 “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p>
    <w:p w14:paraId="600A5287">
      <w:pPr>
        <w:pStyle w:val="212"/>
        <w:keepNext w:val="0"/>
        <w:keepLines w:val="0"/>
        <w:pageBreakBefore w:val="0"/>
        <w:widowControl w:val="0"/>
        <w:spacing w:before="0" w:beforeAutospacing="0" w:after="0" w:afterAutospacing="0" w:line="420" w:lineRule="exact"/>
        <w:ind w:firstLine="480"/>
        <w:jc w:val="both"/>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26.</w:t>
      </w:r>
      <w:r>
        <w:rPr>
          <w:rFonts w:hint="eastAsia" w:eastAsia="宋体" w:cs="宋体"/>
          <w:color w:val="000000"/>
          <w:sz w:val="24"/>
          <w:szCs w:val="24"/>
          <w:highlight w:val="none"/>
          <w:shd w:val="clear" w:color="auto" w:fill="auto"/>
          <w:lang w:val="en-US" w:eastAsia="zh-CN"/>
        </w:rPr>
        <w:t>6</w:t>
      </w:r>
      <w:r>
        <w:rPr>
          <w:rFonts w:hint="eastAsia" w:ascii="宋体" w:hAnsi="宋体" w:eastAsia="宋体" w:cs="宋体"/>
          <w:color w:val="000000"/>
          <w:sz w:val="24"/>
          <w:szCs w:val="24"/>
          <w:highlight w:val="none"/>
          <w:shd w:val="clear" w:color="auto" w:fill="auto"/>
        </w:rPr>
        <w:t>.8响应文件含有采购人不能接受的附加条件的。</w:t>
      </w:r>
    </w:p>
    <w:p w14:paraId="321DC53D">
      <w:pPr>
        <w:pStyle w:val="212"/>
        <w:pageBreakBefore w:val="0"/>
        <w:widowControl w:val="0"/>
        <w:spacing w:before="0" w:beforeAutospacing="0" w:after="0" w:afterAutospacing="0" w:line="420" w:lineRule="exact"/>
        <w:ind w:firstLine="480"/>
        <w:jc w:val="both"/>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2</w:t>
      </w:r>
      <w:r>
        <w:rPr>
          <w:rFonts w:hint="eastAsia" w:ascii="宋体" w:hAnsi="宋体" w:eastAsia="宋体" w:cs="宋体"/>
          <w:color w:val="000000"/>
          <w:sz w:val="24"/>
          <w:szCs w:val="24"/>
          <w:highlight w:val="none"/>
          <w:shd w:val="clear" w:color="auto" w:fill="auto"/>
          <w:lang w:val="en-US" w:eastAsia="zh-CN"/>
        </w:rPr>
        <w:t>6.6.9</w:t>
      </w:r>
      <w:r>
        <w:rPr>
          <w:rFonts w:hint="eastAsia" w:ascii="宋体" w:hAnsi="宋体" w:eastAsia="宋体" w:cs="宋体"/>
          <w:color w:val="000000"/>
          <w:sz w:val="24"/>
          <w:szCs w:val="24"/>
          <w:highlight w:val="none"/>
          <w:shd w:val="clear" w:color="auto" w:fill="auto"/>
        </w:rPr>
        <w:t>投标人不能证明其报价合理性的，评标委员会应当将其作为无效投标处理。</w:t>
      </w:r>
    </w:p>
    <w:p w14:paraId="7F6E134B">
      <w:pPr>
        <w:pStyle w:val="212"/>
        <w:pageBreakBefore w:val="0"/>
        <w:widowControl w:val="0"/>
        <w:spacing w:before="0" w:beforeAutospacing="0" w:after="0" w:afterAutospacing="0" w:line="420" w:lineRule="exact"/>
        <w:ind w:firstLine="480"/>
        <w:jc w:val="both"/>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（一）评审过程中出现下列情形之一的，评标委员会应当启动异常低价投标审查程序：</w:t>
      </w:r>
    </w:p>
    <w:p w14:paraId="49D62C95">
      <w:pPr>
        <w:pStyle w:val="212"/>
        <w:pageBreakBefore w:val="0"/>
        <w:widowControl w:val="0"/>
        <w:spacing w:before="0" w:beforeAutospacing="0" w:after="0" w:afterAutospacing="0" w:line="420" w:lineRule="exact"/>
        <w:ind w:firstLine="480"/>
        <w:jc w:val="both"/>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1.投标报价低于采购项目预算50%的，即投标报价&lt;采购项目预算×50%；</w:t>
      </w:r>
    </w:p>
    <w:p w14:paraId="51806F53">
      <w:pPr>
        <w:pStyle w:val="212"/>
        <w:pageBreakBefore w:val="0"/>
        <w:widowControl w:val="0"/>
        <w:spacing w:before="0" w:beforeAutospacing="0" w:after="0" w:afterAutospacing="0" w:line="420" w:lineRule="exact"/>
        <w:ind w:firstLine="480"/>
        <w:jc w:val="both"/>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2.投标报价低于采购项目最高限价45%的，即投标报价&lt;采购项目最高限价×45%；</w:t>
      </w:r>
    </w:p>
    <w:p w14:paraId="0A987003">
      <w:pPr>
        <w:pStyle w:val="212"/>
        <w:pageBreakBefore w:val="0"/>
        <w:widowControl w:val="0"/>
        <w:spacing w:before="0" w:beforeAutospacing="0" w:after="0" w:afterAutospacing="0" w:line="420" w:lineRule="exact"/>
        <w:ind w:firstLine="480"/>
        <w:jc w:val="both"/>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3.评标委员会认定的供应商报价过低、有可能影响产品质量或者不能诚信履约的其他情形。</w:t>
      </w:r>
    </w:p>
    <w:p w14:paraId="5DB43F5D">
      <w:pPr>
        <w:pStyle w:val="212"/>
        <w:pageBreakBefore w:val="0"/>
        <w:widowControl w:val="0"/>
        <w:spacing w:before="0" w:beforeAutospacing="0" w:after="0" w:afterAutospacing="0" w:line="420" w:lineRule="exact"/>
        <w:ind w:firstLine="480"/>
        <w:jc w:val="both"/>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二）启动异常低价投标审查后，评标委员会应当要求相关供应商在评标现场合理的时间内，提供项目具体成本测算等与报价合理性相关的书面说明及相关证明材料，对投标价格作出解释，由评标委员会结合同类产品在主要电商平台的价格、该行业当地薪资水平等情况，依据专业经验对供应商报价合理性进行判断。投标供应商不提供书面说明、证明材料，或者提供的书面说明、证明材料不能证明其报价合理性的，评标委员会应当将其作为无效投标处理。审查相关情况应当在评审报告中进行记录。</w:t>
      </w:r>
    </w:p>
    <w:p w14:paraId="2B8F7842">
      <w:pPr>
        <w:pStyle w:val="212"/>
        <w:keepNext w:val="0"/>
        <w:keepLines w:val="0"/>
        <w:pageBreakBefore w:val="0"/>
        <w:widowControl w:val="0"/>
        <w:spacing w:before="0" w:beforeAutospacing="0" w:after="0" w:afterAutospacing="0" w:line="420" w:lineRule="exact"/>
        <w:ind w:firstLine="480"/>
        <w:jc w:val="both"/>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26.</w:t>
      </w:r>
      <w:r>
        <w:rPr>
          <w:rFonts w:hint="eastAsia" w:eastAsia="宋体" w:cs="宋体"/>
          <w:color w:val="000000"/>
          <w:sz w:val="24"/>
          <w:szCs w:val="24"/>
          <w:highlight w:val="none"/>
          <w:shd w:val="clear" w:color="auto" w:fill="auto"/>
          <w:lang w:val="en-US" w:eastAsia="zh-CN"/>
        </w:rPr>
        <w:t>6</w:t>
      </w:r>
      <w:r>
        <w:rPr>
          <w:rFonts w:hint="eastAsia" w:ascii="宋体" w:hAnsi="宋体" w:eastAsia="宋体" w:cs="宋体"/>
          <w:color w:val="000000"/>
          <w:sz w:val="24"/>
          <w:szCs w:val="24"/>
          <w:highlight w:val="none"/>
          <w:shd w:val="clear" w:color="auto" w:fill="auto"/>
        </w:rPr>
        <w:t>.</w:t>
      </w:r>
      <w:r>
        <w:rPr>
          <w:rFonts w:hint="eastAsia" w:eastAsia="宋体" w:cs="宋体"/>
          <w:color w:val="000000"/>
          <w:sz w:val="24"/>
          <w:szCs w:val="24"/>
          <w:highlight w:val="none"/>
          <w:shd w:val="clear" w:color="auto" w:fill="auto"/>
          <w:lang w:val="en-US" w:eastAsia="zh-CN"/>
        </w:rPr>
        <w:t>10</w:t>
      </w:r>
      <w:r>
        <w:rPr>
          <w:rFonts w:hint="eastAsia" w:ascii="宋体" w:hAnsi="宋体" w:eastAsia="宋体" w:cs="宋体"/>
          <w:color w:val="000000"/>
          <w:sz w:val="24"/>
          <w:szCs w:val="24"/>
          <w:highlight w:val="none"/>
          <w:shd w:val="clear" w:color="auto" w:fill="auto"/>
        </w:rPr>
        <w:t>响应文件未按照询价文件要求加盖CA电子公章的。</w:t>
      </w:r>
    </w:p>
    <w:p w14:paraId="3B84348D">
      <w:pPr>
        <w:pStyle w:val="212"/>
        <w:pageBreakBefore w:val="0"/>
        <w:widowControl w:val="0"/>
        <w:spacing w:before="0" w:beforeAutospacing="0" w:after="0" w:afterAutospacing="0" w:line="420" w:lineRule="exact"/>
        <w:ind w:firstLine="480"/>
        <w:jc w:val="both"/>
        <w:rPr>
          <w:rFonts w:hint="eastAsia" w:eastAsia="宋体" w:cs="宋体"/>
          <w:color w:val="000000"/>
          <w:sz w:val="24"/>
          <w:szCs w:val="24"/>
          <w:highlight w:val="none"/>
          <w:shd w:val="clear" w:color="auto" w:fill="auto"/>
          <w:lang w:val="en-US" w:eastAsia="zh-CN"/>
        </w:rPr>
      </w:pPr>
      <w:r>
        <w:rPr>
          <w:rFonts w:hint="eastAsia" w:eastAsia="宋体" w:cs="宋体"/>
          <w:color w:val="000000"/>
          <w:sz w:val="24"/>
          <w:szCs w:val="24"/>
          <w:highlight w:val="none"/>
          <w:shd w:val="clear" w:color="auto" w:fill="auto"/>
          <w:lang w:val="en-US" w:eastAsia="zh-CN"/>
        </w:rPr>
        <w:t>26.6.11其他法律、法规及询价文件规定的属无效响应的情形。</w:t>
      </w:r>
    </w:p>
    <w:p w14:paraId="5747C2E3">
      <w:pPr>
        <w:pStyle w:val="212"/>
        <w:pageBreakBefore w:val="0"/>
        <w:widowControl w:val="0"/>
        <w:spacing w:before="0" w:beforeAutospacing="0" w:after="0" w:afterAutospacing="0" w:line="420" w:lineRule="exact"/>
        <w:ind w:firstLine="480"/>
        <w:jc w:val="both"/>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26.</w:t>
      </w:r>
      <w:r>
        <w:rPr>
          <w:rFonts w:hint="eastAsia" w:eastAsia="宋体" w:cs="宋体"/>
          <w:color w:val="000000"/>
          <w:sz w:val="24"/>
          <w:szCs w:val="24"/>
          <w:highlight w:val="none"/>
          <w:shd w:val="clear" w:color="auto" w:fill="auto"/>
          <w:lang w:val="en-US" w:eastAsia="zh-CN"/>
        </w:rPr>
        <w:t>7</w:t>
      </w:r>
      <w:r>
        <w:rPr>
          <w:rFonts w:hint="eastAsia" w:ascii="宋体" w:hAnsi="宋体" w:eastAsia="宋体" w:cs="宋体"/>
          <w:color w:val="000000"/>
          <w:sz w:val="24"/>
          <w:szCs w:val="24"/>
          <w:highlight w:val="none"/>
          <w:shd w:val="clear" w:color="auto" w:fill="auto"/>
        </w:rPr>
        <w:t>如果响应文件实质上没有响应询价文件的要求，询价小组将予以拒绝，供应商不得通过修改或撤销</w:t>
      </w:r>
      <w:r>
        <w:rPr>
          <w:rFonts w:hint="eastAsia" w:eastAsia="宋体" w:cs="宋体"/>
          <w:color w:val="000000"/>
          <w:sz w:val="24"/>
          <w:szCs w:val="24"/>
          <w:highlight w:val="none"/>
          <w:shd w:val="clear" w:color="auto" w:fill="auto"/>
          <w:lang w:eastAsia="zh-CN"/>
        </w:rPr>
        <w:t>不符</w:t>
      </w:r>
      <w:r>
        <w:rPr>
          <w:rFonts w:hint="eastAsia" w:ascii="宋体" w:hAnsi="宋体" w:eastAsia="宋体" w:cs="宋体"/>
          <w:color w:val="000000"/>
          <w:sz w:val="24"/>
          <w:szCs w:val="24"/>
          <w:highlight w:val="none"/>
          <w:shd w:val="clear" w:color="auto" w:fill="auto"/>
        </w:rPr>
        <w:t>合要求的偏离或保留而使其成为实质性响应的文件。</w:t>
      </w:r>
    </w:p>
    <w:p w14:paraId="11DDFF8D">
      <w:pPr>
        <w:pStyle w:val="212"/>
        <w:pageBreakBefore w:val="0"/>
        <w:widowControl w:val="0"/>
        <w:spacing w:before="0" w:beforeAutospacing="0" w:after="0" w:afterAutospacing="0" w:line="420" w:lineRule="exact"/>
        <w:ind w:firstLine="480"/>
        <w:jc w:val="both"/>
        <w:rPr>
          <w:rFonts w:hint="eastAsia" w:ascii="宋体" w:hAnsi="宋体" w:eastAsia="宋体" w:cs="宋体"/>
          <w:color w:val="000000"/>
          <w:sz w:val="24"/>
          <w:szCs w:val="24"/>
          <w:highlight w:val="none"/>
          <w:shd w:val="clear" w:color="auto" w:fill="auto"/>
        </w:rPr>
      </w:pPr>
      <w:bookmarkStart w:id="119" w:name="_Toc513029234"/>
      <w:bookmarkStart w:id="120" w:name="_Toc20823306"/>
      <w:bookmarkStart w:id="121" w:name="_Toc16938550"/>
      <w:r>
        <w:rPr>
          <w:rFonts w:hint="eastAsia" w:ascii="宋体" w:hAnsi="宋体" w:eastAsia="宋体" w:cs="宋体"/>
          <w:color w:val="000000"/>
          <w:sz w:val="24"/>
          <w:szCs w:val="24"/>
          <w:highlight w:val="none"/>
          <w:shd w:val="clear" w:color="auto" w:fill="auto"/>
        </w:rPr>
        <w:t>26.</w:t>
      </w:r>
      <w:r>
        <w:rPr>
          <w:rFonts w:hint="eastAsia" w:eastAsia="宋体" w:cs="宋体"/>
          <w:color w:val="000000"/>
          <w:sz w:val="24"/>
          <w:szCs w:val="24"/>
          <w:highlight w:val="none"/>
          <w:shd w:val="clear" w:color="auto" w:fill="auto"/>
          <w:lang w:val="en-US" w:eastAsia="zh-CN"/>
        </w:rPr>
        <w:t>8</w:t>
      </w:r>
      <w:r>
        <w:rPr>
          <w:rFonts w:hint="eastAsia" w:ascii="宋体" w:hAnsi="宋体" w:eastAsia="宋体" w:cs="宋体"/>
          <w:color w:val="000000"/>
          <w:sz w:val="24"/>
          <w:szCs w:val="24"/>
          <w:highlight w:val="none"/>
          <w:shd w:val="clear" w:color="auto" w:fill="auto"/>
        </w:rPr>
        <w:t>供应商在项目评审全过程中应</w:t>
      </w:r>
      <w:r>
        <w:rPr>
          <w:rFonts w:hint="eastAsia" w:eastAsia="宋体" w:cs="宋体"/>
          <w:color w:val="000000"/>
          <w:sz w:val="24"/>
          <w:szCs w:val="24"/>
          <w:highlight w:val="none"/>
          <w:shd w:val="clear" w:color="auto" w:fill="auto"/>
          <w:lang w:eastAsia="zh-CN"/>
        </w:rPr>
        <w:t>保持通信畅通</w:t>
      </w:r>
      <w:r>
        <w:rPr>
          <w:rFonts w:hint="eastAsia" w:ascii="宋体" w:hAnsi="宋体" w:eastAsia="宋体" w:cs="宋体"/>
          <w:color w:val="000000"/>
          <w:sz w:val="24"/>
          <w:szCs w:val="24"/>
          <w:highlight w:val="none"/>
          <w:shd w:val="clear" w:color="auto" w:fill="auto"/>
        </w:rPr>
        <w:t>，并安排专人与</w:t>
      </w:r>
      <w:r>
        <w:rPr>
          <w:rFonts w:hint="eastAsia" w:eastAsia="宋体" w:cs="宋体"/>
          <w:color w:val="000000"/>
          <w:sz w:val="24"/>
          <w:szCs w:val="24"/>
          <w:highlight w:val="none"/>
          <w:shd w:val="clear" w:color="auto" w:fill="auto"/>
          <w:lang w:eastAsia="zh-CN"/>
        </w:rPr>
        <w:t>采购代理</w:t>
      </w:r>
      <w:r>
        <w:rPr>
          <w:rFonts w:hint="eastAsia" w:ascii="宋体" w:hAnsi="宋体" w:eastAsia="宋体" w:cs="宋体"/>
          <w:color w:val="000000"/>
          <w:sz w:val="24"/>
          <w:szCs w:val="24"/>
          <w:highlight w:val="none"/>
          <w:shd w:val="clear" w:color="auto" w:fill="auto"/>
          <w:lang w:eastAsia="zh-CN"/>
        </w:rPr>
        <w:t>机构</w:t>
      </w:r>
      <w:r>
        <w:rPr>
          <w:rFonts w:hint="eastAsia" w:ascii="宋体" w:hAnsi="宋体" w:eastAsia="宋体" w:cs="宋体"/>
          <w:color w:val="000000"/>
          <w:sz w:val="24"/>
          <w:szCs w:val="24"/>
          <w:highlight w:val="none"/>
          <w:shd w:val="clear" w:color="auto" w:fill="auto"/>
        </w:rPr>
        <w:t>及询价小组联系。</w:t>
      </w:r>
      <w:bookmarkEnd w:id="119"/>
      <w:bookmarkEnd w:id="120"/>
      <w:bookmarkEnd w:id="121"/>
    </w:p>
    <w:p w14:paraId="36BE9190">
      <w:pPr>
        <w:pStyle w:val="212"/>
        <w:pageBreakBefore w:val="0"/>
        <w:widowControl w:val="0"/>
        <w:spacing w:before="0" w:beforeAutospacing="0" w:after="0" w:afterAutospacing="0" w:line="420" w:lineRule="exact"/>
        <w:ind w:firstLine="480"/>
        <w:jc w:val="both"/>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27、询价程序及成交原则</w:t>
      </w:r>
    </w:p>
    <w:p w14:paraId="57CADDF5">
      <w:pPr>
        <w:pStyle w:val="212"/>
        <w:pageBreakBefore w:val="0"/>
        <w:widowControl w:val="0"/>
        <w:spacing w:before="0" w:beforeAutospacing="0" w:after="0" w:afterAutospacing="0" w:line="420" w:lineRule="exact"/>
        <w:ind w:firstLine="480"/>
        <w:jc w:val="both"/>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27.1询价程序</w:t>
      </w:r>
    </w:p>
    <w:p w14:paraId="4FA6E2BB">
      <w:pPr>
        <w:pStyle w:val="212"/>
        <w:pageBreakBefore w:val="0"/>
        <w:widowControl w:val="0"/>
        <w:spacing w:before="0" w:beforeAutospacing="0" w:after="0" w:afterAutospacing="0" w:line="420" w:lineRule="exact"/>
        <w:ind w:firstLine="480"/>
        <w:jc w:val="both"/>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27.1.1询价小组将对供应商的响应文件进行资格审查和符合性审查。询价小组在询价过程中，不得改变询价文件中所确定的技术和服务等要求、评审程序、评定成交的标准和合同文本等事项。参加询价采购活动的供应商，应当按照询价文件中的规定一次报出不得更改的价格。</w:t>
      </w:r>
    </w:p>
    <w:p w14:paraId="212E16ED">
      <w:pPr>
        <w:pStyle w:val="212"/>
        <w:pageBreakBefore w:val="0"/>
        <w:widowControl w:val="0"/>
        <w:spacing w:before="0" w:beforeAutospacing="0" w:after="0" w:afterAutospacing="0" w:line="420" w:lineRule="exact"/>
        <w:ind w:firstLine="480"/>
        <w:jc w:val="both"/>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27.2 成交原则</w:t>
      </w:r>
    </w:p>
    <w:p w14:paraId="3012BA64">
      <w:pPr>
        <w:pStyle w:val="212"/>
        <w:pageBreakBefore w:val="0"/>
        <w:widowControl w:val="0"/>
        <w:spacing w:before="0" w:beforeAutospacing="0" w:after="0" w:afterAutospacing="0" w:line="420" w:lineRule="exact"/>
        <w:ind w:firstLine="480"/>
        <w:jc w:val="both"/>
        <w:rPr>
          <w:rFonts w:hint="eastAsia" w:ascii="宋体" w:hAnsi="宋体" w:eastAsia="宋体" w:cs="宋体"/>
          <w:color w:val="000000"/>
          <w:sz w:val="24"/>
          <w:szCs w:val="24"/>
          <w:highlight w:val="yellow"/>
          <w:shd w:val="clear" w:color="auto" w:fill="auto"/>
        </w:rPr>
      </w:pPr>
      <w:r>
        <w:rPr>
          <w:rFonts w:hint="eastAsia" w:ascii="宋体" w:hAnsi="宋体" w:eastAsia="宋体" w:cs="宋体"/>
          <w:color w:val="000000"/>
          <w:sz w:val="24"/>
          <w:szCs w:val="24"/>
          <w:highlight w:val="none"/>
          <w:shd w:val="clear" w:color="auto" w:fill="auto"/>
        </w:rPr>
        <w:t>27.2.1询价小组将从质量和服务均能满足</w:t>
      </w:r>
      <w:r>
        <w:rPr>
          <w:rFonts w:hint="eastAsia" w:ascii="宋体" w:hAnsi="宋体" w:eastAsia="宋体" w:cs="宋体"/>
          <w:color w:val="000000"/>
          <w:sz w:val="24"/>
          <w:szCs w:val="24"/>
          <w:highlight w:val="none"/>
          <w:shd w:val="clear" w:color="auto" w:fill="auto"/>
          <w:lang w:val="en-US" w:eastAsia="zh-CN"/>
        </w:rPr>
        <w:t>询价</w:t>
      </w:r>
      <w:r>
        <w:rPr>
          <w:rFonts w:hint="eastAsia" w:ascii="宋体" w:hAnsi="宋体" w:eastAsia="宋体" w:cs="宋体"/>
          <w:color w:val="000000"/>
          <w:sz w:val="24"/>
          <w:szCs w:val="24"/>
          <w:highlight w:val="none"/>
          <w:shd w:val="clear" w:color="auto" w:fill="auto"/>
        </w:rPr>
        <w:t>文件实质性响应要求的供应商中，按照报价由低到高顺序推荐</w:t>
      </w:r>
      <w:r>
        <w:rPr>
          <w:rFonts w:hint="eastAsia" w:ascii="宋体" w:hAnsi="宋体" w:eastAsia="宋体" w:cs="宋体"/>
          <w:color w:val="000000"/>
          <w:sz w:val="24"/>
          <w:szCs w:val="24"/>
          <w:highlight w:val="none"/>
          <w:shd w:val="clear" w:color="auto" w:fill="auto"/>
          <w:lang w:val="en-US" w:eastAsia="zh-CN"/>
        </w:rPr>
        <w:t>1</w:t>
      </w:r>
      <w:r>
        <w:rPr>
          <w:rFonts w:hint="eastAsia" w:ascii="宋体" w:hAnsi="宋体" w:eastAsia="宋体" w:cs="宋体"/>
          <w:color w:val="000000"/>
          <w:sz w:val="24"/>
          <w:szCs w:val="24"/>
          <w:highlight w:val="none"/>
          <w:shd w:val="clear" w:color="auto" w:fill="auto"/>
        </w:rPr>
        <w:t>名成交候选供应商，并编写评审报告。</w:t>
      </w:r>
    </w:p>
    <w:p w14:paraId="73A79468">
      <w:pPr>
        <w:pStyle w:val="212"/>
        <w:pageBreakBefore w:val="0"/>
        <w:widowControl w:val="0"/>
        <w:spacing w:before="0" w:beforeAutospacing="0" w:after="0" w:afterAutospacing="0" w:line="420" w:lineRule="exact"/>
        <w:ind w:firstLine="480"/>
        <w:jc w:val="both"/>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27.2.2 提供相同品牌相同型号产品且通过资格审查、符合性审查的不同供应商参加同一合同项下响应的，按一家供应商计算，询价中在其他条件合格的前提下，报价最低的供应商获得成交供应商推荐资格；报价相同的，由采购人或者采购人委托询价小组按照询价文件规定的方式确定一个供应商获得成交供应商推荐资格，询价文件未规定的采取随机抽取方式确定，其他同品牌同型号供应商不作为成交候选人。</w:t>
      </w:r>
    </w:p>
    <w:p w14:paraId="0A20AD7C">
      <w:pPr>
        <w:pStyle w:val="212"/>
        <w:pageBreakBefore w:val="0"/>
        <w:widowControl w:val="0"/>
        <w:spacing w:before="0" w:beforeAutospacing="0" w:after="0" w:afterAutospacing="0" w:line="420" w:lineRule="exact"/>
        <w:ind w:firstLine="480"/>
        <w:jc w:val="both"/>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27.2.3 供应商的报价如相同，则优先采购 “环境标志产品”或“节能产品”；若均非“环境标志产品</w:t>
      </w:r>
      <w:r>
        <w:rPr>
          <w:rFonts w:hint="eastAsia" w:ascii="宋体" w:hAnsi="宋体" w:eastAsia="宋体" w:cs="宋体"/>
          <w:color w:val="000000"/>
          <w:sz w:val="24"/>
          <w:szCs w:val="24"/>
          <w:highlight w:val="none"/>
          <w:shd w:val="clear" w:color="auto" w:fill="auto"/>
          <w:lang w:eastAsia="zh-CN"/>
        </w:rPr>
        <w:t>”“</w:t>
      </w:r>
      <w:r>
        <w:rPr>
          <w:rFonts w:hint="eastAsia" w:ascii="宋体" w:hAnsi="宋体" w:eastAsia="宋体" w:cs="宋体"/>
          <w:color w:val="000000"/>
          <w:sz w:val="24"/>
          <w:szCs w:val="24"/>
          <w:highlight w:val="none"/>
          <w:shd w:val="clear" w:color="auto" w:fill="auto"/>
        </w:rPr>
        <w:t>节能产品”，则将优先采购交货期短者。环境标志产品是指列入财政部、环境保护部最新公布的《环境标志产品品目清单》内的产品；节能产品是指列入财政部、</w:t>
      </w:r>
      <w:r>
        <w:rPr>
          <w:rFonts w:hint="eastAsia" w:ascii="宋体" w:hAnsi="宋体" w:eastAsia="宋体" w:cs="宋体"/>
          <w:color w:val="000000"/>
          <w:sz w:val="24"/>
          <w:szCs w:val="24"/>
          <w:highlight w:val="none"/>
          <w:shd w:val="clear" w:color="auto" w:fill="auto"/>
          <w:lang w:eastAsia="zh-CN"/>
        </w:rPr>
        <w:t>国家发展改革委</w:t>
      </w:r>
      <w:r>
        <w:rPr>
          <w:rFonts w:hint="eastAsia" w:ascii="宋体" w:hAnsi="宋体" w:eastAsia="宋体" w:cs="宋体"/>
          <w:color w:val="000000"/>
          <w:sz w:val="24"/>
          <w:szCs w:val="24"/>
          <w:highlight w:val="none"/>
          <w:shd w:val="clear" w:color="auto" w:fill="auto"/>
        </w:rPr>
        <w:t>最新公布的《节能产品品目清单》内的产品。</w:t>
      </w:r>
    </w:p>
    <w:p w14:paraId="42A711A8">
      <w:pPr>
        <w:pStyle w:val="212"/>
        <w:pageBreakBefore w:val="0"/>
        <w:widowControl w:val="0"/>
        <w:spacing w:before="0" w:beforeAutospacing="0" w:after="0" w:afterAutospacing="0" w:line="420" w:lineRule="exact"/>
        <w:ind w:firstLine="480"/>
        <w:jc w:val="both"/>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27.2.4 采购人确定成交供应商后，</w:t>
      </w:r>
      <w:r>
        <w:rPr>
          <w:rFonts w:hint="eastAsia" w:ascii="宋体" w:hAnsi="宋体" w:eastAsia="宋体" w:cs="宋体"/>
          <w:color w:val="000000"/>
          <w:sz w:val="24"/>
          <w:szCs w:val="24"/>
          <w:highlight w:val="none"/>
          <w:shd w:val="clear" w:color="auto" w:fill="auto"/>
          <w:lang w:eastAsia="zh-CN"/>
        </w:rPr>
        <w:t>采购代理机构</w:t>
      </w:r>
      <w:r>
        <w:rPr>
          <w:rFonts w:hint="eastAsia" w:ascii="宋体" w:hAnsi="宋体" w:eastAsia="宋体" w:cs="宋体"/>
          <w:color w:val="000000"/>
          <w:sz w:val="24"/>
          <w:szCs w:val="24"/>
          <w:highlight w:val="none"/>
          <w:shd w:val="clear" w:color="auto" w:fill="auto"/>
        </w:rPr>
        <w:t>将在</w:t>
      </w:r>
      <w:r>
        <w:rPr>
          <w:rFonts w:hint="eastAsia" w:ascii="宋体" w:hAnsi="宋体" w:eastAsia="宋体" w:cs="宋体"/>
          <w:color w:val="000000"/>
          <w:sz w:val="24"/>
          <w:szCs w:val="24"/>
          <w:highlight w:val="none"/>
          <w:shd w:val="clear" w:color="auto" w:fill="auto"/>
          <w:lang w:val="en-US" w:eastAsia="zh-CN"/>
        </w:rPr>
        <w:t>“中国政府采购网”“江苏政府采购网”“盐城市政府采购网”</w:t>
      </w:r>
      <w:r>
        <w:rPr>
          <w:rFonts w:hint="eastAsia" w:cs="宋体"/>
          <w:color w:val="000000"/>
          <w:sz w:val="24"/>
          <w:szCs w:val="24"/>
          <w:highlight w:val="none"/>
          <w:shd w:val="clear" w:color="auto" w:fill="auto"/>
          <w:lang w:val="en-US" w:eastAsia="zh-CN"/>
        </w:rPr>
        <w:t>“阜宁县公共资源电子化服务平台”</w:t>
      </w:r>
      <w:r>
        <w:rPr>
          <w:rFonts w:hint="eastAsia" w:ascii="宋体" w:hAnsi="宋体" w:eastAsia="宋体" w:cs="宋体"/>
          <w:color w:val="000000"/>
          <w:sz w:val="24"/>
          <w:szCs w:val="24"/>
          <w:highlight w:val="none"/>
          <w:shd w:val="clear" w:color="auto" w:fill="auto"/>
        </w:rPr>
        <w:t>发布成交结果公告，公告期限为1个工作日。</w:t>
      </w:r>
    </w:p>
    <w:p w14:paraId="469E5A68">
      <w:pPr>
        <w:pStyle w:val="212"/>
        <w:pageBreakBefore w:val="0"/>
        <w:widowControl w:val="0"/>
        <w:spacing w:before="0" w:beforeAutospacing="0" w:after="0" w:afterAutospacing="0" w:line="420" w:lineRule="exact"/>
        <w:ind w:firstLine="480"/>
        <w:jc w:val="both"/>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27.</w:t>
      </w:r>
      <w:r>
        <w:rPr>
          <w:rFonts w:hint="eastAsia" w:ascii="宋体" w:hAnsi="宋体" w:eastAsia="宋体" w:cs="宋体"/>
          <w:color w:val="000000"/>
          <w:sz w:val="24"/>
          <w:szCs w:val="24"/>
          <w:highlight w:val="none"/>
          <w:shd w:val="clear" w:color="auto" w:fill="auto"/>
          <w:lang w:val="en-US" w:eastAsia="zh-CN"/>
        </w:rPr>
        <w:t>3</w:t>
      </w:r>
      <w:r>
        <w:rPr>
          <w:rFonts w:hint="eastAsia" w:ascii="宋体" w:hAnsi="宋体" w:eastAsia="宋体" w:cs="宋体"/>
          <w:color w:val="000000"/>
          <w:sz w:val="24"/>
          <w:szCs w:val="24"/>
          <w:highlight w:val="none"/>
          <w:shd w:val="clear" w:color="auto" w:fill="auto"/>
        </w:rPr>
        <w:t>采购活动终止的情况</w:t>
      </w:r>
    </w:p>
    <w:p w14:paraId="7442B7F0">
      <w:pPr>
        <w:pStyle w:val="212"/>
        <w:pageBreakBefore w:val="0"/>
        <w:widowControl w:val="0"/>
        <w:spacing w:before="0" w:beforeAutospacing="0" w:after="0" w:afterAutospacing="0" w:line="420" w:lineRule="exact"/>
        <w:ind w:firstLine="480"/>
        <w:jc w:val="both"/>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出现下列情形之一的，本次询价采购活动将被终止：</w:t>
      </w:r>
    </w:p>
    <w:p w14:paraId="2D5F5DF5">
      <w:pPr>
        <w:pStyle w:val="212"/>
        <w:pageBreakBefore w:val="0"/>
        <w:widowControl w:val="0"/>
        <w:spacing w:before="0" w:beforeAutospacing="0" w:after="0" w:afterAutospacing="0" w:line="420" w:lineRule="exact"/>
        <w:ind w:firstLine="480"/>
        <w:jc w:val="both"/>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27.</w:t>
      </w:r>
      <w:r>
        <w:rPr>
          <w:rFonts w:hint="eastAsia" w:ascii="宋体" w:hAnsi="宋体" w:eastAsia="宋体" w:cs="宋体"/>
          <w:color w:val="000000"/>
          <w:sz w:val="24"/>
          <w:szCs w:val="24"/>
          <w:highlight w:val="none"/>
          <w:shd w:val="clear" w:color="auto" w:fill="auto"/>
          <w:lang w:val="en-US" w:eastAsia="zh-CN"/>
        </w:rPr>
        <w:t>3</w:t>
      </w:r>
      <w:r>
        <w:rPr>
          <w:rFonts w:hint="eastAsia" w:ascii="宋体" w:hAnsi="宋体" w:eastAsia="宋体" w:cs="宋体"/>
          <w:color w:val="000000"/>
          <w:sz w:val="24"/>
          <w:szCs w:val="24"/>
          <w:highlight w:val="none"/>
          <w:shd w:val="clear" w:color="auto" w:fill="auto"/>
        </w:rPr>
        <w:t>.1因情况变化，不再符合规定的询价采购方式适用情形的。</w:t>
      </w:r>
    </w:p>
    <w:p w14:paraId="0DF15DA2">
      <w:pPr>
        <w:pStyle w:val="212"/>
        <w:pageBreakBefore w:val="0"/>
        <w:widowControl w:val="0"/>
        <w:spacing w:before="0" w:beforeAutospacing="0" w:after="0" w:afterAutospacing="0" w:line="420" w:lineRule="exact"/>
        <w:ind w:firstLine="480"/>
        <w:jc w:val="both"/>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27.</w:t>
      </w:r>
      <w:r>
        <w:rPr>
          <w:rFonts w:hint="eastAsia" w:ascii="宋体" w:hAnsi="宋体" w:eastAsia="宋体" w:cs="宋体"/>
          <w:color w:val="000000"/>
          <w:sz w:val="24"/>
          <w:szCs w:val="24"/>
          <w:highlight w:val="none"/>
          <w:shd w:val="clear" w:color="auto" w:fill="auto"/>
          <w:lang w:val="en-US" w:eastAsia="zh-CN"/>
        </w:rPr>
        <w:t>3</w:t>
      </w:r>
      <w:r>
        <w:rPr>
          <w:rFonts w:hint="eastAsia" w:ascii="宋体" w:hAnsi="宋体" w:eastAsia="宋体" w:cs="宋体"/>
          <w:color w:val="000000"/>
          <w:sz w:val="24"/>
          <w:szCs w:val="24"/>
          <w:highlight w:val="none"/>
          <w:shd w:val="clear" w:color="auto" w:fill="auto"/>
        </w:rPr>
        <w:t>.2出现影响采购公正的违法、违规行为的。</w:t>
      </w:r>
    </w:p>
    <w:p w14:paraId="5857126B">
      <w:pPr>
        <w:pStyle w:val="212"/>
        <w:pageBreakBefore w:val="0"/>
        <w:widowControl w:val="0"/>
        <w:spacing w:before="0" w:beforeAutospacing="0" w:after="0" w:afterAutospacing="0" w:line="420" w:lineRule="exact"/>
        <w:ind w:firstLine="480"/>
        <w:jc w:val="both"/>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27.</w:t>
      </w:r>
      <w:r>
        <w:rPr>
          <w:rFonts w:hint="eastAsia" w:ascii="宋体" w:hAnsi="宋体" w:eastAsia="宋体" w:cs="宋体"/>
          <w:color w:val="000000"/>
          <w:sz w:val="24"/>
          <w:szCs w:val="24"/>
          <w:highlight w:val="none"/>
          <w:shd w:val="clear" w:color="auto" w:fill="auto"/>
          <w:lang w:val="en-US" w:eastAsia="zh-CN"/>
        </w:rPr>
        <w:t>3</w:t>
      </w:r>
      <w:r>
        <w:rPr>
          <w:rFonts w:hint="eastAsia" w:ascii="宋体" w:hAnsi="宋体" w:eastAsia="宋体" w:cs="宋体"/>
          <w:color w:val="000000"/>
          <w:sz w:val="24"/>
          <w:szCs w:val="24"/>
          <w:highlight w:val="none"/>
          <w:shd w:val="clear" w:color="auto" w:fill="auto"/>
        </w:rPr>
        <w:t>.3在采购过程中符合要求的供应商或者报价未超过采购预算的供应商不足3家的。</w:t>
      </w:r>
    </w:p>
    <w:p w14:paraId="2115281C">
      <w:pPr>
        <w:pStyle w:val="212"/>
        <w:pageBreakBefore w:val="0"/>
        <w:widowControl w:val="0"/>
        <w:spacing w:before="0" w:beforeAutospacing="0" w:after="0" w:afterAutospacing="0" w:line="420" w:lineRule="exact"/>
        <w:ind w:firstLine="480"/>
        <w:jc w:val="both"/>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27.</w:t>
      </w:r>
      <w:r>
        <w:rPr>
          <w:rFonts w:hint="eastAsia" w:ascii="宋体" w:hAnsi="宋体" w:eastAsia="宋体" w:cs="宋体"/>
          <w:color w:val="000000"/>
          <w:sz w:val="24"/>
          <w:szCs w:val="24"/>
          <w:highlight w:val="none"/>
          <w:shd w:val="clear" w:color="auto" w:fill="auto"/>
          <w:lang w:val="en-US" w:eastAsia="zh-CN"/>
        </w:rPr>
        <w:t>3</w:t>
      </w:r>
      <w:r>
        <w:rPr>
          <w:rFonts w:hint="eastAsia" w:ascii="宋体" w:hAnsi="宋体" w:eastAsia="宋体" w:cs="宋体"/>
          <w:color w:val="000000"/>
          <w:sz w:val="24"/>
          <w:szCs w:val="24"/>
          <w:highlight w:val="none"/>
          <w:shd w:val="clear" w:color="auto" w:fill="auto"/>
        </w:rPr>
        <w:t>.</w:t>
      </w:r>
      <w:r>
        <w:rPr>
          <w:rFonts w:hint="eastAsia" w:ascii="宋体" w:hAnsi="宋体" w:eastAsia="宋体" w:cs="宋体"/>
          <w:color w:val="000000"/>
          <w:sz w:val="24"/>
          <w:szCs w:val="24"/>
          <w:highlight w:val="none"/>
          <w:shd w:val="clear" w:color="auto" w:fill="auto"/>
          <w:lang w:val="en-US" w:eastAsia="zh-CN"/>
        </w:rPr>
        <w:t>4</w:t>
      </w:r>
      <w:r>
        <w:rPr>
          <w:rFonts w:hint="eastAsia" w:ascii="宋体" w:hAnsi="宋体" w:eastAsia="宋体" w:cs="宋体"/>
          <w:color w:val="000000"/>
          <w:sz w:val="24"/>
          <w:szCs w:val="24"/>
          <w:highlight w:val="none"/>
          <w:shd w:val="clear" w:color="auto" w:fill="auto"/>
        </w:rPr>
        <w:t>在苏采云系统规定时间内成功解密电子响应文件的供应商不足3家的。</w:t>
      </w:r>
    </w:p>
    <w:p w14:paraId="66E459DD">
      <w:pPr>
        <w:pStyle w:val="212"/>
        <w:pageBreakBefore w:val="0"/>
        <w:widowControl w:val="0"/>
        <w:spacing w:before="0" w:beforeAutospacing="0" w:after="0" w:afterAutospacing="0" w:line="420" w:lineRule="exact"/>
        <w:ind w:firstLine="480"/>
        <w:jc w:val="both"/>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28、成交供应商被取消成交资格情形</w:t>
      </w:r>
    </w:p>
    <w:p w14:paraId="0C9448A0">
      <w:pPr>
        <w:pStyle w:val="212"/>
        <w:pageBreakBefore w:val="0"/>
        <w:widowControl w:val="0"/>
        <w:spacing w:before="0" w:beforeAutospacing="0" w:after="0" w:afterAutospacing="0" w:line="420" w:lineRule="exact"/>
        <w:ind w:firstLine="480"/>
        <w:jc w:val="both"/>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若有充分证据证明，成交供应商出现下列情况之一的，一经查实，将被取消成交资格：</w:t>
      </w:r>
    </w:p>
    <w:p w14:paraId="71D2F3C7">
      <w:pPr>
        <w:pStyle w:val="212"/>
        <w:pageBreakBefore w:val="0"/>
        <w:widowControl w:val="0"/>
        <w:spacing w:before="0" w:beforeAutospacing="0" w:after="0" w:afterAutospacing="0" w:line="420" w:lineRule="exact"/>
        <w:ind w:firstLine="480"/>
        <w:jc w:val="both"/>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28.1提供虚假材料谋取成交的。</w:t>
      </w:r>
    </w:p>
    <w:p w14:paraId="2744D71C">
      <w:pPr>
        <w:pStyle w:val="212"/>
        <w:pageBreakBefore w:val="0"/>
        <w:widowControl w:val="0"/>
        <w:spacing w:before="0" w:beforeAutospacing="0" w:after="0" w:afterAutospacing="0" w:line="420" w:lineRule="exact"/>
        <w:ind w:firstLine="480"/>
        <w:jc w:val="both"/>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28.2与评审专家、采购人、其他供应商或者</w:t>
      </w:r>
      <w:r>
        <w:rPr>
          <w:rFonts w:hint="eastAsia" w:ascii="宋体" w:hAnsi="宋体" w:eastAsia="宋体" w:cs="宋体"/>
          <w:color w:val="000000"/>
          <w:sz w:val="24"/>
          <w:szCs w:val="24"/>
          <w:highlight w:val="none"/>
          <w:shd w:val="clear" w:color="auto" w:fill="auto"/>
          <w:lang w:eastAsia="zh-CN"/>
        </w:rPr>
        <w:t>采购代理机构</w:t>
      </w:r>
      <w:r>
        <w:rPr>
          <w:rFonts w:hint="eastAsia" w:ascii="宋体" w:hAnsi="宋体" w:eastAsia="宋体" w:cs="宋体"/>
          <w:color w:val="000000"/>
          <w:sz w:val="24"/>
          <w:szCs w:val="24"/>
          <w:highlight w:val="none"/>
          <w:shd w:val="clear" w:color="auto" w:fill="auto"/>
        </w:rPr>
        <w:t>工作人员恶意串通的。</w:t>
      </w:r>
    </w:p>
    <w:p w14:paraId="06A435C4">
      <w:pPr>
        <w:pStyle w:val="212"/>
        <w:pageBreakBefore w:val="0"/>
        <w:widowControl w:val="0"/>
        <w:spacing w:before="0" w:beforeAutospacing="0" w:after="0" w:afterAutospacing="0" w:line="420" w:lineRule="exact"/>
        <w:ind w:firstLine="480"/>
        <w:jc w:val="both"/>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28.3向评审专家、采购人或</w:t>
      </w:r>
      <w:r>
        <w:rPr>
          <w:rFonts w:hint="eastAsia" w:ascii="宋体" w:hAnsi="宋体" w:eastAsia="宋体" w:cs="宋体"/>
          <w:color w:val="000000"/>
          <w:sz w:val="24"/>
          <w:szCs w:val="24"/>
          <w:highlight w:val="none"/>
          <w:shd w:val="clear" w:color="auto" w:fill="auto"/>
          <w:lang w:eastAsia="zh-CN"/>
        </w:rPr>
        <w:t>采购代理机构</w:t>
      </w:r>
      <w:r>
        <w:rPr>
          <w:rFonts w:hint="eastAsia" w:ascii="宋体" w:hAnsi="宋体" w:eastAsia="宋体" w:cs="宋体"/>
          <w:color w:val="000000"/>
          <w:sz w:val="24"/>
          <w:szCs w:val="24"/>
          <w:highlight w:val="none"/>
          <w:shd w:val="clear" w:color="auto" w:fill="auto"/>
        </w:rPr>
        <w:t>工作人员行贿或者提供其他不正当利益的。</w:t>
      </w:r>
    </w:p>
    <w:p w14:paraId="336A8A54">
      <w:pPr>
        <w:pStyle w:val="212"/>
        <w:pageBreakBefore w:val="0"/>
        <w:widowControl w:val="0"/>
        <w:spacing w:before="0" w:beforeAutospacing="0" w:after="0" w:afterAutospacing="0" w:line="420" w:lineRule="exact"/>
        <w:ind w:firstLine="480"/>
        <w:jc w:val="both"/>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28.4恶意竞争，报价明显低于其自身合理成本且又无法提供证明的。</w:t>
      </w:r>
    </w:p>
    <w:p w14:paraId="20E70A19">
      <w:pPr>
        <w:pStyle w:val="212"/>
        <w:pageBreakBefore w:val="0"/>
        <w:widowControl w:val="0"/>
        <w:spacing w:before="0" w:beforeAutospacing="0" w:after="0" w:afterAutospacing="0" w:line="420" w:lineRule="exact"/>
        <w:ind w:firstLine="480"/>
        <w:jc w:val="both"/>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28.5不满足本询价文件规定的实质性要求，但在评审过程中又未被询价小组发现的。</w:t>
      </w:r>
    </w:p>
    <w:p w14:paraId="0E75FEE4">
      <w:pPr>
        <w:pStyle w:val="212"/>
        <w:pageBreakBefore w:val="0"/>
        <w:widowControl w:val="0"/>
        <w:spacing w:before="0" w:beforeAutospacing="0" w:after="0" w:afterAutospacing="0" w:line="420" w:lineRule="exact"/>
        <w:ind w:firstLine="480"/>
        <w:jc w:val="both"/>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28.6成交后无正当理由拒不与采购人签订政府采购合同或者未按照询价文件确定的事项签订政府采购合同的。</w:t>
      </w:r>
    </w:p>
    <w:p w14:paraId="00DE25F3">
      <w:pPr>
        <w:pStyle w:val="212"/>
        <w:pageBreakBefore w:val="0"/>
        <w:widowControl w:val="0"/>
        <w:spacing w:before="0" w:beforeAutospacing="0" w:after="0" w:afterAutospacing="0" w:line="420" w:lineRule="exact"/>
        <w:ind w:firstLine="480"/>
        <w:jc w:val="both"/>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28.7将政府采购合同转包的。</w:t>
      </w:r>
    </w:p>
    <w:p w14:paraId="7E353069">
      <w:pPr>
        <w:pStyle w:val="212"/>
        <w:pageBreakBefore w:val="0"/>
        <w:widowControl w:val="0"/>
        <w:spacing w:before="0" w:beforeAutospacing="0" w:after="0" w:afterAutospacing="0" w:line="420" w:lineRule="exact"/>
        <w:ind w:firstLine="480"/>
        <w:jc w:val="both"/>
        <w:rPr>
          <w:rFonts w:hint="eastAsia" w:ascii="宋体" w:hAnsi="宋体" w:eastAsia="宋体" w:cs="宋体"/>
          <w:color w:val="000000"/>
          <w:sz w:val="24"/>
          <w:szCs w:val="24"/>
          <w:highlight w:val="none"/>
          <w:shd w:val="clear" w:color="auto" w:fill="auto"/>
        </w:rPr>
      </w:pPr>
      <w:bookmarkStart w:id="122" w:name="_Toc200451960"/>
      <w:r>
        <w:rPr>
          <w:rFonts w:hint="eastAsia" w:ascii="宋体" w:hAnsi="宋体" w:eastAsia="宋体" w:cs="宋体"/>
          <w:color w:val="000000"/>
          <w:sz w:val="24"/>
          <w:szCs w:val="24"/>
          <w:highlight w:val="none"/>
          <w:shd w:val="clear" w:color="auto" w:fill="auto"/>
        </w:rPr>
        <w:t>29、质疑处理</w:t>
      </w:r>
      <w:bookmarkEnd w:id="122"/>
    </w:p>
    <w:p w14:paraId="5FE545E1">
      <w:pPr>
        <w:pStyle w:val="212"/>
        <w:pageBreakBefore w:val="0"/>
        <w:widowControl w:val="0"/>
        <w:spacing w:before="0" w:beforeAutospacing="0" w:after="0" w:afterAutospacing="0" w:line="420" w:lineRule="exact"/>
        <w:ind w:firstLine="480"/>
        <w:jc w:val="both"/>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29.1 提出质疑的供应商应当是参与所质疑项目采购活动的供应商。潜在供应商依法获取其可质疑的</w:t>
      </w:r>
      <w:r>
        <w:rPr>
          <w:rFonts w:hint="eastAsia" w:ascii="宋体" w:hAnsi="宋体" w:eastAsia="宋体" w:cs="宋体"/>
          <w:color w:val="000000"/>
          <w:sz w:val="24"/>
          <w:szCs w:val="24"/>
          <w:highlight w:val="none"/>
          <w:shd w:val="clear" w:color="auto" w:fill="auto"/>
          <w:lang w:val="en-US" w:eastAsia="zh-CN"/>
        </w:rPr>
        <w:t>询价</w:t>
      </w:r>
      <w:r>
        <w:rPr>
          <w:rFonts w:hint="eastAsia" w:ascii="宋体" w:hAnsi="宋体" w:eastAsia="宋体" w:cs="宋体"/>
          <w:color w:val="000000"/>
          <w:sz w:val="24"/>
          <w:szCs w:val="24"/>
          <w:highlight w:val="none"/>
          <w:shd w:val="clear" w:color="auto" w:fill="auto"/>
        </w:rPr>
        <w:t>文件的，可以对</w:t>
      </w:r>
      <w:r>
        <w:rPr>
          <w:rFonts w:hint="eastAsia" w:ascii="宋体" w:hAnsi="宋体" w:eastAsia="宋体" w:cs="宋体"/>
          <w:color w:val="000000"/>
          <w:sz w:val="24"/>
          <w:szCs w:val="24"/>
          <w:highlight w:val="none"/>
          <w:shd w:val="clear" w:color="auto" w:fill="auto"/>
          <w:lang w:val="en-US" w:eastAsia="zh-CN"/>
        </w:rPr>
        <w:t>询价</w:t>
      </w:r>
      <w:r>
        <w:rPr>
          <w:rFonts w:hint="eastAsia" w:ascii="宋体" w:hAnsi="宋体" w:eastAsia="宋体" w:cs="宋体"/>
          <w:color w:val="000000"/>
          <w:sz w:val="24"/>
          <w:szCs w:val="24"/>
          <w:highlight w:val="none"/>
          <w:shd w:val="clear" w:color="auto" w:fill="auto"/>
        </w:rPr>
        <w:t>文件提出质疑。</w:t>
      </w:r>
    </w:p>
    <w:p w14:paraId="357B0D2A">
      <w:pPr>
        <w:pStyle w:val="212"/>
        <w:pageBreakBefore w:val="0"/>
        <w:widowControl w:val="0"/>
        <w:spacing w:before="0" w:beforeAutospacing="0" w:after="0" w:afterAutospacing="0" w:line="420" w:lineRule="exact"/>
        <w:ind w:firstLine="480"/>
        <w:jc w:val="both"/>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29.2供应商认为</w:t>
      </w:r>
      <w:r>
        <w:rPr>
          <w:rFonts w:hint="eastAsia" w:ascii="宋体" w:hAnsi="宋体" w:eastAsia="宋体" w:cs="宋体"/>
          <w:color w:val="000000"/>
          <w:sz w:val="24"/>
          <w:szCs w:val="24"/>
          <w:highlight w:val="none"/>
          <w:shd w:val="clear" w:color="auto" w:fill="auto"/>
          <w:lang w:val="en-US" w:eastAsia="zh-CN"/>
        </w:rPr>
        <w:t>询价</w:t>
      </w:r>
      <w:r>
        <w:rPr>
          <w:rFonts w:hint="eastAsia" w:ascii="宋体" w:hAnsi="宋体" w:eastAsia="宋体" w:cs="宋体"/>
          <w:color w:val="000000"/>
          <w:sz w:val="24"/>
          <w:szCs w:val="24"/>
          <w:highlight w:val="none"/>
          <w:shd w:val="clear" w:color="auto" w:fill="auto"/>
        </w:rPr>
        <w:t>文件、</w:t>
      </w:r>
      <w:r>
        <w:rPr>
          <w:rFonts w:hint="eastAsia" w:ascii="宋体" w:hAnsi="宋体" w:eastAsia="宋体" w:cs="宋体"/>
          <w:color w:val="000000"/>
          <w:sz w:val="24"/>
          <w:szCs w:val="24"/>
          <w:highlight w:val="none"/>
          <w:shd w:val="clear" w:color="auto" w:fill="auto"/>
          <w:lang w:val="en-US" w:eastAsia="zh-CN"/>
        </w:rPr>
        <w:t>询价</w:t>
      </w:r>
      <w:r>
        <w:rPr>
          <w:rFonts w:hint="eastAsia" w:ascii="宋体" w:hAnsi="宋体" w:eastAsia="宋体" w:cs="宋体"/>
          <w:color w:val="000000"/>
          <w:sz w:val="24"/>
          <w:szCs w:val="24"/>
          <w:highlight w:val="none"/>
          <w:shd w:val="clear" w:color="auto" w:fill="auto"/>
        </w:rPr>
        <w:t>过程和</w:t>
      </w:r>
      <w:r>
        <w:rPr>
          <w:rFonts w:hint="eastAsia" w:ascii="宋体" w:hAnsi="宋体" w:eastAsia="宋体" w:cs="宋体"/>
          <w:color w:val="000000"/>
          <w:sz w:val="24"/>
          <w:szCs w:val="24"/>
          <w:highlight w:val="none"/>
          <w:shd w:val="clear" w:color="auto" w:fill="auto"/>
          <w:lang w:val="en-US" w:eastAsia="zh-CN"/>
        </w:rPr>
        <w:t>询价</w:t>
      </w:r>
      <w:r>
        <w:rPr>
          <w:rFonts w:hint="eastAsia" w:ascii="宋体" w:hAnsi="宋体" w:eastAsia="宋体" w:cs="宋体"/>
          <w:color w:val="000000"/>
          <w:sz w:val="24"/>
          <w:szCs w:val="24"/>
          <w:highlight w:val="none"/>
          <w:shd w:val="clear" w:color="auto" w:fill="auto"/>
        </w:rPr>
        <w:t>结果使自己的权益受到损害的，可以在知道或应知其权益受到损害之日起七个工作日内，以书面形式根据下述29.4条款的规定向</w:t>
      </w:r>
      <w:r>
        <w:rPr>
          <w:rFonts w:hint="eastAsia" w:ascii="宋体" w:hAnsi="宋体" w:eastAsia="宋体" w:cs="宋体"/>
          <w:color w:val="000000"/>
          <w:sz w:val="24"/>
          <w:szCs w:val="24"/>
          <w:highlight w:val="none"/>
          <w:shd w:val="clear" w:color="auto" w:fill="auto"/>
          <w:lang w:eastAsia="zh-CN"/>
        </w:rPr>
        <w:t>采购代理机构</w:t>
      </w:r>
      <w:r>
        <w:rPr>
          <w:rFonts w:hint="eastAsia" w:ascii="宋体" w:hAnsi="宋体" w:eastAsia="宋体" w:cs="宋体"/>
          <w:color w:val="000000"/>
          <w:sz w:val="24"/>
          <w:szCs w:val="24"/>
          <w:highlight w:val="none"/>
          <w:shd w:val="clear" w:color="auto" w:fill="auto"/>
        </w:rPr>
        <w:t>或采购人提出质疑。上述应知其权益受到损害之日，是指：</w:t>
      </w:r>
    </w:p>
    <w:p w14:paraId="358A8429">
      <w:pPr>
        <w:pStyle w:val="212"/>
        <w:pageBreakBefore w:val="0"/>
        <w:widowControl w:val="0"/>
        <w:spacing w:before="0" w:beforeAutospacing="0" w:after="0" w:afterAutospacing="0" w:line="420" w:lineRule="exact"/>
        <w:ind w:firstLine="480"/>
        <w:jc w:val="both"/>
        <w:rPr>
          <w:rFonts w:hint="eastAsia" w:ascii="宋体" w:hAnsi="宋体" w:eastAsia="宋体" w:cs="宋体"/>
          <w:color w:val="000000"/>
          <w:sz w:val="24"/>
          <w:szCs w:val="24"/>
          <w:highlight w:val="none"/>
          <w:shd w:val="clear" w:color="auto" w:fill="auto"/>
          <w:lang w:eastAsia="zh-CN"/>
        </w:rPr>
      </w:pPr>
      <w:r>
        <w:rPr>
          <w:rFonts w:hint="eastAsia" w:ascii="宋体" w:hAnsi="宋体" w:eastAsia="宋体" w:cs="宋体"/>
          <w:color w:val="000000"/>
          <w:sz w:val="24"/>
          <w:szCs w:val="24"/>
          <w:highlight w:val="none"/>
          <w:shd w:val="clear" w:color="auto" w:fill="auto"/>
        </w:rPr>
        <w:t>29.2.1对可以质疑的</w:t>
      </w:r>
      <w:r>
        <w:rPr>
          <w:rFonts w:hint="eastAsia" w:ascii="宋体" w:hAnsi="宋体" w:eastAsia="宋体" w:cs="宋体"/>
          <w:color w:val="000000"/>
          <w:sz w:val="24"/>
          <w:szCs w:val="24"/>
          <w:highlight w:val="none"/>
          <w:shd w:val="clear" w:color="auto" w:fill="auto"/>
          <w:lang w:val="en-US" w:eastAsia="zh-CN"/>
        </w:rPr>
        <w:t>询价</w:t>
      </w:r>
      <w:r>
        <w:rPr>
          <w:rFonts w:hint="eastAsia" w:ascii="宋体" w:hAnsi="宋体" w:eastAsia="宋体" w:cs="宋体"/>
          <w:color w:val="000000"/>
          <w:sz w:val="24"/>
          <w:szCs w:val="24"/>
          <w:highlight w:val="none"/>
          <w:shd w:val="clear" w:color="auto" w:fill="auto"/>
        </w:rPr>
        <w:t>文件提出质疑的，为收到</w:t>
      </w:r>
      <w:r>
        <w:rPr>
          <w:rFonts w:hint="eastAsia" w:ascii="宋体" w:hAnsi="宋体" w:eastAsia="宋体" w:cs="宋体"/>
          <w:color w:val="000000"/>
          <w:sz w:val="24"/>
          <w:szCs w:val="24"/>
          <w:highlight w:val="none"/>
          <w:shd w:val="clear" w:color="auto" w:fill="auto"/>
          <w:lang w:val="en-US" w:eastAsia="zh-CN"/>
        </w:rPr>
        <w:t>询价</w:t>
      </w:r>
      <w:r>
        <w:rPr>
          <w:rFonts w:hint="eastAsia" w:ascii="宋体" w:hAnsi="宋体" w:eastAsia="宋体" w:cs="宋体"/>
          <w:color w:val="000000"/>
          <w:sz w:val="24"/>
          <w:szCs w:val="24"/>
          <w:highlight w:val="none"/>
          <w:shd w:val="clear" w:color="auto" w:fill="auto"/>
        </w:rPr>
        <w:t>文件之日或者采购</w:t>
      </w:r>
      <w:r>
        <w:rPr>
          <w:rFonts w:hint="eastAsia" w:ascii="宋体" w:hAnsi="宋体" w:eastAsia="宋体" w:cs="宋体"/>
          <w:color w:val="000000"/>
          <w:sz w:val="24"/>
          <w:szCs w:val="24"/>
          <w:highlight w:val="none"/>
          <w:shd w:val="clear" w:color="auto" w:fill="auto"/>
          <w:lang w:val="en-US" w:eastAsia="zh-CN"/>
        </w:rPr>
        <w:t>询价</w:t>
      </w:r>
      <w:r>
        <w:rPr>
          <w:rFonts w:hint="eastAsia" w:ascii="宋体" w:hAnsi="宋体" w:eastAsia="宋体" w:cs="宋体"/>
          <w:color w:val="000000"/>
          <w:sz w:val="24"/>
          <w:szCs w:val="24"/>
          <w:highlight w:val="none"/>
          <w:shd w:val="clear" w:color="auto" w:fill="auto"/>
        </w:rPr>
        <w:t>公告期限届满之日。</w:t>
      </w:r>
    </w:p>
    <w:p w14:paraId="6E61C9EC">
      <w:pPr>
        <w:pStyle w:val="212"/>
        <w:pageBreakBefore w:val="0"/>
        <w:widowControl w:val="0"/>
        <w:spacing w:before="0" w:beforeAutospacing="0" w:after="0" w:afterAutospacing="0" w:line="420" w:lineRule="exact"/>
        <w:ind w:firstLine="480"/>
        <w:jc w:val="both"/>
        <w:rPr>
          <w:rFonts w:hint="eastAsia" w:ascii="宋体" w:hAnsi="宋体" w:eastAsia="宋体" w:cs="宋体"/>
          <w:color w:val="000000"/>
          <w:sz w:val="24"/>
          <w:szCs w:val="24"/>
          <w:highlight w:val="none"/>
          <w:shd w:val="clear" w:color="auto" w:fill="auto"/>
          <w:lang w:eastAsia="zh-CN"/>
        </w:rPr>
      </w:pPr>
      <w:r>
        <w:rPr>
          <w:rFonts w:hint="eastAsia" w:ascii="宋体" w:hAnsi="宋体" w:eastAsia="宋体" w:cs="宋体"/>
          <w:color w:val="000000"/>
          <w:sz w:val="24"/>
          <w:szCs w:val="24"/>
          <w:highlight w:val="none"/>
          <w:shd w:val="clear" w:color="auto" w:fill="auto"/>
        </w:rPr>
        <w:t>29.2.2对</w:t>
      </w:r>
      <w:r>
        <w:rPr>
          <w:rFonts w:hint="eastAsia" w:ascii="宋体" w:hAnsi="宋体" w:eastAsia="宋体" w:cs="宋体"/>
          <w:color w:val="000000"/>
          <w:sz w:val="24"/>
          <w:szCs w:val="24"/>
          <w:highlight w:val="none"/>
          <w:shd w:val="clear" w:color="auto" w:fill="auto"/>
          <w:lang w:val="en-US" w:eastAsia="zh-CN"/>
        </w:rPr>
        <w:t>询价</w:t>
      </w:r>
      <w:r>
        <w:rPr>
          <w:rFonts w:hint="eastAsia" w:ascii="宋体" w:hAnsi="宋体" w:eastAsia="宋体" w:cs="宋体"/>
          <w:color w:val="000000"/>
          <w:sz w:val="24"/>
          <w:szCs w:val="24"/>
          <w:highlight w:val="none"/>
          <w:shd w:val="clear" w:color="auto" w:fill="auto"/>
        </w:rPr>
        <w:t>过程提出质疑的，为各</w:t>
      </w:r>
      <w:r>
        <w:rPr>
          <w:rFonts w:hint="eastAsia" w:ascii="宋体" w:hAnsi="宋体" w:eastAsia="宋体" w:cs="宋体"/>
          <w:color w:val="000000"/>
          <w:sz w:val="24"/>
          <w:szCs w:val="24"/>
          <w:highlight w:val="none"/>
          <w:shd w:val="clear" w:color="auto" w:fill="auto"/>
          <w:lang w:val="en-US" w:eastAsia="zh-CN"/>
        </w:rPr>
        <w:t>询价</w:t>
      </w:r>
      <w:r>
        <w:rPr>
          <w:rFonts w:hint="eastAsia" w:ascii="宋体" w:hAnsi="宋体" w:eastAsia="宋体" w:cs="宋体"/>
          <w:color w:val="000000"/>
          <w:sz w:val="24"/>
          <w:szCs w:val="24"/>
          <w:highlight w:val="none"/>
          <w:shd w:val="clear" w:color="auto" w:fill="auto"/>
        </w:rPr>
        <w:t>程序环节结束之日。</w:t>
      </w:r>
    </w:p>
    <w:p w14:paraId="557E120D">
      <w:pPr>
        <w:pStyle w:val="212"/>
        <w:pageBreakBefore w:val="0"/>
        <w:widowControl w:val="0"/>
        <w:spacing w:before="0" w:beforeAutospacing="0" w:after="0" w:afterAutospacing="0" w:line="420" w:lineRule="exact"/>
        <w:ind w:firstLine="480"/>
        <w:jc w:val="both"/>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29.2.3对成交结果提出质疑的，为成交结果公告期限届满之日。</w:t>
      </w:r>
    </w:p>
    <w:p w14:paraId="613F3362">
      <w:pPr>
        <w:pStyle w:val="212"/>
        <w:pageBreakBefore w:val="0"/>
        <w:widowControl w:val="0"/>
        <w:spacing w:before="0" w:beforeAutospacing="0" w:after="0" w:afterAutospacing="0" w:line="420" w:lineRule="exact"/>
        <w:ind w:firstLine="480"/>
        <w:jc w:val="both"/>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供应商应当在法定质疑期内一次性提出针对同一采购程序环节的质疑。供应商如在法定期限内对同一采购程序环节提出多次质疑的，</w:t>
      </w:r>
      <w:r>
        <w:rPr>
          <w:rFonts w:hint="eastAsia" w:ascii="宋体" w:hAnsi="宋体" w:eastAsia="宋体" w:cs="宋体"/>
          <w:color w:val="000000"/>
          <w:sz w:val="24"/>
          <w:szCs w:val="24"/>
          <w:highlight w:val="none"/>
          <w:shd w:val="clear" w:color="auto" w:fill="auto"/>
          <w:lang w:eastAsia="zh-CN"/>
        </w:rPr>
        <w:t>采购代理机构</w:t>
      </w:r>
      <w:r>
        <w:rPr>
          <w:rFonts w:hint="eastAsia" w:ascii="宋体" w:hAnsi="宋体" w:eastAsia="宋体" w:cs="宋体"/>
          <w:color w:val="000000"/>
          <w:sz w:val="24"/>
          <w:szCs w:val="24"/>
          <w:highlight w:val="none"/>
          <w:shd w:val="clear" w:color="auto" w:fill="auto"/>
        </w:rPr>
        <w:t>、采购人将只对供应商第一次质疑作出答复。</w:t>
      </w:r>
    </w:p>
    <w:p w14:paraId="15FE9951">
      <w:pPr>
        <w:pStyle w:val="212"/>
        <w:pageBreakBefore w:val="0"/>
        <w:widowControl w:val="0"/>
        <w:spacing w:before="0" w:beforeAutospacing="0" w:after="0" w:afterAutospacing="0" w:line="420" w:lineRule="exact"/>
        <w:ind w:firstLine="480"/>
        <w:jc w:val="both"/>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29.3质疑函必须按照本询价文件中《质疑函范本》要求的格式和内容进行填写。供应商如组成联合体参加询价，则《质疑函范本》中要求签字、盖章、加盖公章之处，联合体各方均须按要求签字、盖章、加盖公章。</w:t>
      </w:r>
    </w:p>
    <w:p w14:paraId="3150FBF1">
      <w:pPr>
        <w:pStyle w:val="212"/>
        <w:pageBreakBefore w:val="0"/>
        <w:widowControl w:val="0"/>
        <w:spacing w:before="0" w:beforeAutospacing="0" w:after="0" w:afterAutospacing="0" w:line="420" w:lineRule="exact"/>
        <w:ind w:firstLine="480"/>
        <w:jc w:val="both"/>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29.4 供应商（含潜在供应商）对采购方式、采购需求、供应商资格条件、评审方法与评审标准、合同文本的询问、质疑请向采购人提出，由采购人负责答复。供应商对其他事项的询问、质疑请向</w:t>
      </w:r>
      <w:r>
        <w:rPr>
          <w:rFonts w:hint="eastAsia" w:ascii="宋体" w:hAnsi="宋体" w:eastAsia="宋体" w:cs="宋体"/>
          <w:color w:val="000000"/>
          <w:sz w:val="24"/>
          <w:szCs w:val="24"/>
          <w:highlight w:val="none"/>
          <w:shd w:val="clear" w:color="auto" w:fill="auto"/>
          <w:lang w:eastAsia="zh-CN"/>
        </w:rPr>
        <w:t>采购代理机构</w:t>
      </w:r>
      <w:r>
        <w:rPr>
          <w:rFonts w:hint="eastAsia" w:ascii="宋体" w:hAnsi="宋体" w:eastAsia="宋体" w:cs="宋体"/>
          <w:color w:val="000000"/>
          <w:sz w:val="24"/>
          <w:szCs w:val="24"/>
          <w:highlight w:val="none"/>
          <w:shd w:val="clear" w:color="auto" w:fill="auto"/>
        </w:rPr>
        <w:t>提出，由</w:t>
      </w:r>
      <w:r>
        <w:rPr>
          <w:rFonts w:hint="eastAsia" w:ascii="宋体" w:hAnsi="宋体" w:eastAsia="宋体" w:cs="宋体"/>
          <w:color w:val="000000"/>
          <w:sz w:val="24"/>
          <w:szCs w:val="24"/>
          <w:highlight w:val="none"/>
          <w:shd w:val="clear" w:color="auto" w:fill="auto"/>
          <w:lang w:eastAsia="zh-CN"/>
        </w:rPr>
        <w:t>采购代理机构</w:t>
      </w:r>
      <w:r>
        <w:rPr>
          <w:rFonts w:hint="eastAsia" w:ascii="宋体" w:hAnsi="宋体" w:eastAsia="宋体" w:cs="宋体"/>
          <w:color w:val="000000"/>
          <w:sz w:val="24"/>
          <w:szCs w:val="24"/>
          <w:highlight w:val="none"/>
          <w:shd w:val="clear" w:color="auto" w:fill="auto"/>
        </w:rPr>
        <w:t>负责答复。</w:t>
      </w:r>
    </w:p>
    <w:p w14:paraId="7EBA19D5">
      <w:pPr>
        <w:pStyle w:val="212"/>
        <w:pageBreakBefore w:val="0"/>
        <w:widowControl w:val="0"/>
        <w:spacing w:before="0" w:beforeAutospacing="0" w:after="0" w:afterAutospacing="0" w:line="420" w:lineRule="exact"/>
        <w:ind w:firstLine="480"/>
        <w:jc w:val="both"/>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采购人及采购代理机构只接收以纸质原件形式送达的质疑,采购人和采购代理机构不接受未填写快递运单的快件。</w:t>
      </w:r>
    </w:p>
    <w:p w14:paraId="0EE42BD7">
      <w:pPr>
        <w:pStyle w:val="212"/>
        <w:pageBreakBefore w:val="0"/>
        <w:widowControl w:val="0"/>
        <w:spacing w:before="0" w:beforeAutospacing="0" w:after="0" w:afterAutospacing="0" w:line="420" w:lineRule="exact"/>
        <w:ind w:firstLine="480"/>
        <w:jc w:val="both"/>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29.5 以下情形的质疑不予受理</w:t>
      </w:r>
    </w:p>
    <w:p w14:paraId="6F3D4218">
      <w:pPr>
        <w:pStyle w:val="212"/>
        <w:pageBreakBefore w:val="0"/>
        <w:widowControl w:val="0"/>
        <w:spacing w:before="0" w:beforeAutospacing="0" w:after="0" w:afterAutospacing="0" w:line="420" w:lineRule="exact"/>
        <w:ind w:firstLine="480"/>
        <w:jc w:val="both"/>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29.5.1 内容不符合《政府采购质疑和投诉办法》第十二条规定的质疑。</w:t>
      </w:r>
    </w:p>
    <w:p w14:paraId="298A57CB">
      <w:pPr>
        <w:pStyle w:val="212"/>
        <w:pageBreakBefore w:val="0"/>
        <w:widowControl w:val="0"/>
        <w:spacing w:before="0" w:beforeAutospacing="0" w:after="0" w:afterAutospacing="0" w:line="420" w:lineRule="exact"/>
        <w:ind w:firstLine="480"/>
        <w:jc w:val="both"/>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29.5.2 超出政府采购法定期限的质疑。</w:t>
      </w:r>
    </w:p>
    <w:p w14:paraId="400A6459">
      <w:pPr>
        <w:pStyle w:val="212"/>
        <w:pageBreakBefore w:val="0"/>
        <w:widowControl w:val="0"/>
        <w:spacing w:before="0" w:beforeAutospacing="0" w:after="0" w:afterAutospacing="0" w:line="420" w:lineRule="exact"/>
        <w:ind w:firstLine="480"/>
        <w:jc w:val="both"/>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29.5.3 以传真、电子邮件等方式递交的非原件形式的质疑。</w:t>
      </w:r>
    </w:p>
    <w:p w14:paraId="65BFC5F0">
      <w:pPr>
        <w:pStyle w:val="212"/>
        <w:pageBreakBefore w:val="0"/>
        <w:widowControl w:val="0"/>
        <w:spacing w:before="0" w:beforeAutospacing="0" w:after="0" w:afterAutospacing="0" w:line="420" w:lineRule="exact"/>
        <w:ind w:firstLine="480"/>
        <w:jc w:val="both"/>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29.5.4 未参加询价活动的供应商或在询价活动中自身权益未受到损害的供应商所提出的质疑。</w:t>
      </w:r>
    </w:p>
    <w:p w14:paraId="6F3313B7">
      <w:pPr>
        <w:pStyle w:val="212"/>
        <w:pageBreakBefore w:val="0"/>
        <w:widowControl w:val="0"/>
        <w:spacing w:before="0" w:beforeAutospacing="0" w:after="0" w:afterAutospacing="0" w:line="420" w:lineRule="exact"/>
        <w:ind w:firstLine="480"/>
        <w:jc w:val="both"/>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29.5.5供应商组成联合体参加询价，联合体中任何一方或多方未按要求签字、盖章、加盖公章的质疑。</w:t>
      </w:r>
    </w:p>
    <w:p w14:paraId="0831AAC9">
      <w:pPr>
        <w:pStyle w:val="212"/>
        <w:pageBreakBefore w:val="0"/>
        <w:widowControl w:val="0"/>
        <w:spacing w:before="0" w:beforeAutospacing="0" w:after="0" w:afterAutospacing="0" w:line="420" w:lineRule="exact"/>
        <w:ind w:firstLine="480"/>
        <w:jc w:val="both"/>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29.6供应商提出书面质疑必须有理、有据，不得捏造事实、提供虚假材料进行恶意质疑。否则，一经查实，</w:t>
      </w:r>
      <w:r>
        <w:rPr>
          <w:rFonts w:hint="eastAsia" w:ascii="宋体" w:hAnsi="宋体" w:eastAsia="宋体" w:cs="宋体"/>
          <w:color w:val="000000"/>
          <w:sz w:val="24"/>
          <w:szCs w:val="24"/>
          <w:highlight w:val="none"/>
          <w:shd w:val="clear" w:color="auto" w:fill="auto"/>
          <w:lang w:eastAsia="zh-CN"/>
        </w:rPr>
        <w:t>采购代理机构</w:t>
      </w:r>
      <w:r>
        <w:rPr>
          <w:rFonts w:hint="eastAsia" w:ascii="宋体" w:hAnsi="宋体" w:eastAsia="宋体" w:cs="宋体"/>
          <w:color w:val="000000"/>
          <w:sz w:val="24"/>
          <w:szCs w:val="24"/>
          <w:highlight w:val="none"/>
          <w:shd w:val="clear" w:color="auto" w:fill="auto"/>
        </w:rPr>
        <w:t>有权依据政府采购的有关规定，报请政府采购监管部门对该供应商进行相应的行政处罚和记录该供应商的失信信息。</w:t>
      </w:r>
    </w:p>
    <w:p w14:paraId="59B84AE3">
      <w:pPr>
        <w:pStyle w:val="212"/>
        <w:pageBreakBefore w:val="0"/>
        <w:widowControl w:val="0"/>
        <w:spacing w:before="0" w:beforeAutospacing="0" w:after="0" w:afterAutospacing="0" w:line="420" w:lineRule="exact"/>
        <w:ind w:firstLine="480"/>
        <w:jc w:val="both"/>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30、成交通知书</w:t>
      </w:r>
    </w:p>
    <w:p w14:paraId="7B6F946E">
      <w:pPr>
        <w:pStyle w:val="212"/>
        <w:pageBreakBefore w:val="0"/>
        <w:widowControl w:val="0"/>
        <w:spacing w:before="0" w:beforeAutospacing="0" w:after="0" w:afterAutospacing="0" w:line="420" w:lineRule="exact"/>
        <w:ind w:firstLine="480"/>
        <w:jc w:val="both"/>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30.1成交结果确定后，</w:t>
      </w:r>
      <w:r>
        <w:rPr>
          <w:rFonts w:hint="eastAsia" w:ascii="宋体" w:hAnsi="宋体" w:eastAsia="宋体" w:cs="宋体"/>
          <w:color w:val="000000"/>
          <w:sz w:val="24"/>
          <w:szCs w:val="24"/>
          <w:highlight w:val="none"/>
          <w:shd w:val="clear" w:color="auto" w:fill="auto"/>
          <w:lang w:eastAsia="zh-CN"/>
        </w:rPr>
        <w:t>采购代理机构</w:t>
      </w:r>
      <w:r>
        <w:rPr>
          <w:rFonts w:hint="eastAsia" w:ascii="宋体" w:hAnsi="宋体" w:eastAsia="宋体" w:cs="宋体"/>
          <w:color w:val="000000"/>
          <w:sz w:val="24"/>
          <w:szCs w:val="24"/>
          <w:highlight w:val="none"/>
          <w:shd w:val="clear" w:color="auto" w:fill="auto"/>
        </w:rPr>
        <w:t>将向成交供应商发出成交通知书。请成交供应商在成交结果公告届满之日起30日内,使用CA数字证书登录苏采云系统及时下载成交通知书。因系统存储空间有限，自成交结果公告届满之日起30日后，苏采云系统不再保证提供下载成交通知书服务,因未及时下载而造成的不利后果由成交供应商自行承担。</w:t>
      </w:r>
    </w:p>
    <w:p w14:paraId="594D8AAE">
      <w:pPr>
        <w:pStyle w:val="212"/>
        <w:pageBreakBefore w:val="0"/>
        <w:widowControl w:val="0"/>
        <w:spacing w:before="0" w:beforeAutospacing="0" w:after="0" w:afterAutospacing="0" w:line="420" w:lineRule="exact"/>
        <w:ind w:firstLine="480"/>
        <w:jc w:val="both"/>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30.2成交通知书将是合同的一个组成部分。对采购人和成交供应商均具有法律效力。成交通知书发出后，采购人改变成交结果的，或者成交供应商放弃成交项目的，应当依法承担法律责任。</w:t>
      </w:r>
    </w:p>
    <w:p w14:paraId="1DEE1BD9">
      <w:pPr>
        <w:pStyle w:val="187"/>
        <w:keepNext w:val="0"/>
        <w:keepLines w:val="0"/>
        <w:pageBreakBefore w:val="0"/>
        <w:widowControl/>
        <w:suppressLineNumbers w:val="0"/>
        <w:pBdr>
          <w:top w:val="none" w:color="000000" w:sz="0" w:space="0"/>
          <w:left w:val="none" w:color="000000" w:sz="0" w:space="0"/>
          <w:bottom w:val="none" w:color="000000" w:sz="0" w:space="0"/>
          <w:right w:val="none" w:color="000000" w:sz="0" w:space="0"/>
        </w:pBdr>
        <w:shd w:val="clear" w:color="auto" w:fill="FFFFFF"/>
        <w:spacing w:before="0" w:beforeAutospacing="0" w:after="0" w:afterAutospacing="0" w:line="420" w:lineRule="exact"/>
        <w:ind w:left="0" w:right="0" w:firstLine="482"/>
        <w:jc w:val="both"/>
        <w:rPr>
          <w:rFonts w:hint="eastAsia" w:ascii="宋体" w:hAnsi="宋体" w:eastAsia="宋体" w:cs="宋体"/>
          <w:b/>
          <w:bCs w:val="0"/>
          <w:color w:val="000000"/>
          <w:sz w:val="24"/>
          <w:szCs w:val="24"/>
          <w:highlight w:val="none"/>
          <w:shd w:val="clear" w:color="auto" w:fill="auto"/>
          <w:lang w:val="en-US" w:eastAsia="zh-CN" w:bidi="ar-SA"/>
        </w:rPr>
      </w:pPr>
      <w:bookmarkStart w:id="123" w:name="_Toc120614220"/>
      <w:bookmarkStart w:id="124" w:name="_Toc513029236"/>
      <w:bookmarkStart w:id="125" w:name="_Toc16938552"/>
      <w:bookmarkStart w:id="126" w:name="_Toc20823308"/>
      <w:r>
        <w:rPr>
          <w:rFonts w:hint="eastAsia" w:ascii="宋体" w:hAnsi="宋体" w:eastAsia="宋体" w:cs="宋体"/>
          <w:b/>
          <w:bCs w:val="0"/>
          <w:color w:val="000000"/>
          <w:sz w:val="24"/>
          <w:szCs w:val="24"/>
          <w:highlight w:val="none"/>
          <w:shd w:val="clear" w:color="auto" w:fill="auto"/>
          <w:lang w:val="en-US" w:eastAsia="zh-CN" w:bidi="ar-SA"/>
        </w:rPr>
        <w:t>七、授予合同</w:t>
      </w:r>
      <w:bookmarkEnd w:id="123"/>
      <w:bookmarkEnd w:id="124"/>
      <w:bookmarkEnd w:id="125"/>
      <w:bookmarkEnd w:id="126"/>
    </w:p>
    <w:p w14:paraId="192112FD">
      <w:pPr>
        <w:pStyle w:val="212"/>
        <w:keepNext/>
        <w:keepLines/>
        <w:pageBreakBefore w:val="0"/>
        <w:widowControl w:val="0"/>
        <w:spacing w:before="0" w:beforeAutospacing="0" w:after="0" w:afterAutospacing="0" w:line="420" w:lineRule="exact"/>
        <w:ind w:firstLine="600"/>
        <w:jc w:val="both"/>
        <w:rPr>
          <w:rFonts w:hint="eastAsia" w:ascii="宋体" w:hAnsi="宋体" w:eastAsia="宋体" w:cs="宋体"/>
          <w:color w:val="000000"/>
          <w:sz w:val="24"/>
          <w:szCs w:val="24"/>
          <w:highlight w:val="none"/>
          <w:shd w:val="clear" w:color="auto" w:fill="auto"/>
        </w:rPr>
      </w:pPr>
      <w:bookmarkStart w:id="127" w:name="_Toc20823309"/>
      <w:bookmarkStart w:id="128" w:name="_Toc513029237"/>
      <w:bookmarkStart w:id="129" w:name="_Toc16938553"/>
      <w:r>
        <w:rPr>
          <w:rFonts w:hint="eastAsia" w:ascii="宋体" w:hAnsi="宋体" w:eastAsia="宋体" w:cs="宋体"/>
          <w:color w:val="000000"/>
          <w:sz w:val="24"/>
          <w:szCs w:val="24"/>
          <w:highlight w:val="none"/>
          <w:shd w:val="clear" w:color="auto" w:fill="auto"/>
        </w:rPr>
        <w:t>31. 签订合同</w:t>
      </w:r>
      <w:bookmarkEnd w:id="127"/>
      <w:bookmarkEnd w:id="128"/>
      <w:bookmarkEnd w:id="129"/>
    </w:p>
    <w:p w14:paraId="527A34D6">
      <w:pPr>
        <w:pStyle w:val="212"/>
        <w:pageBreakBefore w:val="0"/>
        <w:widowControl w:val="0"/>
        <w:spacing w:before="0" w:beforeAutospacing="0" w:after="0" w:afterAutospacing="0" w:line="420" w:lineRule="exact"/>
        <w:ind w:firstLine="600"/>
        <w:jc w:val="both"/>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31.l成交供应商应当在成交通知书发出之日起三十日内，按照询价文件确定的事项与采购人签订政府采购合同。</w:t>
      </w:r>
    </w:p>
    <w:p w14:paraId="0C436A88">
      <w:pPr>
        <w:pStyle w:val="212"/>
        <w:pageBreakBefore w:val="0"/>
        <w:widowControl w:val="0"/>
        <w:spacing w:before="0" w:beforeAutospacing="0" w:after="0" w:afterAutospacing="0" w:line="420" w:lineRule="exact"/>
        <w:ind w:firstLine="600"/>
        <w:jc w:val="both"/>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31.2询价文件、成交供应商的响应文件及询价过程中有关澄清、承诺文件均应作为合同附件。</w:t>
      </w:r>
    </w:p>
    <w:p w14:paraId="364BDB55">
      <w:pPr>
        <w:pStyle w:val="212"/>
        <w:pageBreakBefore w:val="0"/>
        <w:widowControl w:val="0"/>
        <w:spacing w:before="0" w:beforeAutospacing="0" w:after="0" w:afterAutospacing="0" w:line="420" w:lineRule="exact"/>
        <w:ind w:firstLine="600"/>
        <w:jc w:val="both"/>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31.3 签订合同后，</w:t>
      </w:r>
      <w:r>
        <w:rPr>
          <w:rFonts w:hint="eastAsia" w:ascii="宋体" w:hAnsi="宋体" w:eastAsia="宋体" w:cs="宋体"/>
          <w:i/>
          <w:color w:val="000000"/>
          <w:sz w:val="24"/>
          <w:szCs w:val="24"/>
          <w:highlight w:val="none"/>
          <w:u w:val="single"/>
          <w:shd w:val="clear" w:color="auto" w:fill="auto"/>
        </w:rPr>
        <w:t>成交供应商不得将合同标的进行转包</w:t>
      </w:r>
      <w:r>
        <w:rPr>
          <w:rFonts w:hint="eastAsia" w:ascii="宋体" w:hAnsi="宋体" w:eastAsia="宋体" w:cs="宋体"/>
          <w:color w:val="000000"/>
          <w:sz w:val="24"/>
          <w:szCs w:val="24"/>
          <w:highlight w:val="none"/>
          <w:shd w:val="clear" w:color="auto" w:fill="auto"/>
        </w:rPr>
        <w:t>。未经采购人同意，成交供应商也不得采用分包形式履行合同,否则采购人有权终止合同。转包或分包造成采购人损失的，成交供应商应承担相应赔偿责任。</w:t>
      </w:r>
    </w:p>
    <w:p w14:paraId="361984AB">
      <w:pPr>
        <w:pStyle w:val="212"/>
        <w:keepNext/>
        <w:keepLines/>
        <w:pageBreakBefore w:val="0"/>
        <w:widowControl w:val="0"/>
        <w:spacing w:before="0" w:beforeAutospacing="0" w:after="0" w:afterAutospacing="0" w:line="420" w:lineRule="exact"/>
        <w:ind w:firstLine="600"/>
        <w:jc w:val="both"/>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32、标的物的追加</w:t>
      </w:r>
    </w:p>
    <w:p w14:paraId="71B6A88F">
      <w:pPr>
        <w:pStyle w:val="212"/>
        <w:pageBreakBefore w:val="0"/>
        <w:widowControl w:val="0"/>
        <w:spacing w:before="0" w:beforeAutospacing="0" w:after="0" w:afterAutospacing="0" w:line="420" w:lineRule="exact"/>
        <w:ind w:firstLine="480"/>
        <w:jc w:val="both"/>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32.1政府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额10%。</w:t>
      </w:r>
    </w:p>
    <w:p w14:paraId="03FD0A79">
      <w:pPr>
        <w:pStyle w:val="212"/>
        <w:pageBreakBefore w:val="0"/>
        <w:widowControl w:val="0"/>
        <w:spacing w:before="0" w:beforeAutospacing="0" w:after="0" w:afterAutospacing="0" w:line="420" w:lineRule="exact"/>
        <w:ind w:firstLine="480"/>
        <w:jc w:val="both"/>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33.政府采购政策功能落实</w:t>
      </w:r>
    </w:p>
    <w:p w14:paraId="5E182985">
      <w:pPr>
        <w:pStyle w:val="212"/>
        <w:pageBreakBefore w:val="0"/>
        <w:widowControl w:val="0"/>
        <w:spacing w:before="0" w:beforeAutospacing="0" w:after="0" w:afterAutospacing="0" w:line="420" w:lineRule="exact"/>
        <w:ind w:firstLine="480"/>
        <w:jc w:val="both"/>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lang w:val="en-US" w:eastAsia="zh-CN"/>
        </w:rPr>
        <w:t>33.1</w:t>
      </w:r>
      <w:r>
        <w:rPr>
          <w:rFonts w:hint="eastAsia" w:ascii="宋体" w:hAnsi="宋体" w:eastAsia="宋体" w:cs="宋体"/>
          <w:color w:val="000000"/>
          <w:sz w:val="24"/>
          <w:szCs w:val="24"/>
          <w:highlight w:val="none"/>
          <w:shd w:val="clear" w:color="auto" w:fill="auto"/>
        </w:rPr>
        <w:t>政府采购</w:t>
      </w:r>
      <w:r>
        <w:rPr>
          <w:rFonts w:hint="eastAsia" w:ascii="宋体" w:hAnsi="宋体" w:eastAsia="宋体" w:cs="宋体"/>
          <w:color w:val="000000"/>
          <w:sz w:val="24"/>
          <w:szCs w:val="24"/>
          <w:highlight w:val="none"/>
          <w:shd w:val="clear" w:color="auto" w:fill="auto"/>
          <w:lang w:eastAsia="zh-CN"/>
        </w:rPr>
        <w:t>线上合同信用融资</w:t>
      </w:r>
      <w:r>
        <w:rPr>
          <w:rFonts w:hint="eastAsia" w:ascii="宋体" w:hAnsi="宋体" w:eastAsia="宋体" w:cs="宋体"/>
          <w:color w:val="000000"/>
          <w:sz w:val="24"/>
          <w:szCs w:val="24"/>
          <w:highlight w:val="none"/>
          <w:shd w:val="clear" w:color="auto" w:fill="auto"/>
        </w:rPr>
        <w:t>政策</w:t>
      </w:r>
    </w:p>
    <w:p w14:paraId="79827176">
      <w:pPr>
        <w:pStyle w:val="212"/>
        <w:pageBreakBefore w:val="0"/>
        <w:widowControl w:val="0"/>
        <w:spacing w:before="0" w:beforeAutospacing="0" w:after="0" w:afterAutospacing="0" w:line="420" w:lineRule="exact"/>
        <w:ind w:firstLine="480"/>
        <w:jc w:val="both"/>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根据《转发江苏省财政厅 中国人民银行南京分行&lt;关于深入推进政府采购线上合同信用融资工作的通知&gt;的通知》（盐财购〔2021〕20号）规定，中标供应商如有融资需求，可持政府采购合同在线向相关金融机构（具体信息详见</w:t>
      </w:r>
      <w:r>
        <w:rPr>
          <w:rFonts w:hint="eastAsia" w:ascii="宋体" w:hAnsi="宋体" w:eastAsia="宋体" w:cs="宋体"/>
          <w:color w:val="000000"/>
          <w:sz w:val="24"/>
          <w:szCs w:val="24"/>
          <w:highlight w:val="none"/>
          <w:shd w:val="clear" w:color="auto" w:fill="auto"/>
          <w:lang w:val="en-US" w:eastAsia="zh-CN"/>
        </w:rPr>
        <w:t>江苏省</w:t>
      </w:r>
      <w:r>
        <w:rPr>
          <w:rFonts w:hint="eastAsia" w:ascii="宋体" w:hAnsi="宋体" w:eastAsia="宋体" w:cs="宋体"/>
          <w:color w:val="000000"/>
          <w:sz w:val="24"/>
          <w:szCs w:val="24"/>
          <w:highlight w:val="none"/>
          <w:shd w:val="clear" w:color="auto" w:fill="auto"/>
        </w:rPr>
        <w:t>政府采购网“政采贷”栏目）申请贷款，相关金融机构按照双方自愿的原则提供便捷、优惠的贷款服务；具体操作流程请参考苏采云系统中操作手册。 </w:t>
      </w:r>
    </w:p>
    <w:p w14:paraId="48BFC996">
      <w:pPr>
        <w:pStyle w:val="212"/>
        <w:pageBreakBefore w:val="0"/>
        <w:widowControl w:val="0"/>
        <w:spacing w:before="0" w:beforeAutospacing="0" w:after="0" w:afterAutospacing="0" w:line="420" w:lineRule="exact"/>
        <w:ind w:firstLine="480"/>
        <w:jc w:val="both"/>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33.2进口产品</w:t>
      </w:r>
    </w:p>
    <w:p w14:paraId="6B2DC1C0">
      <w:pPr>
        <w:pStyle w:val="212"/>
        <w:pageBreakBefore w:val="0"/>
        <w:widowControl w:val="0"/>
        <w:spacing w:before="0" w:beforeAutospacing="0" w:after="0" w:afterAutospacing="0" w:line="420" w:lineRule="exact"/>
        <w:ind w:firstLine="480"/>
        <w:jc w:val="both"/>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lang w:val="en-US" w:eastAsia="zh-CN"/>
        </w:rPr>
        <w:t>进口产品</w:t>
      </w:r>
      <w:r>
        <w:rPr>
          <w:rFonts w:hint="eastAsia" w:ascii="宋体" w:hAnsi="宋体" w:eastAsia="宋体" w:cs="宋体"/>
          <w:color w:val="000000"/>
          <w:sz w:val="24"/>
          <w:szCs w:val="24"/>
          <w:highlight w:val="none"/>
          <w:shd w:val="clear" w:color="auto" w:fill="auto"/>
        </w:rPr>
        <w:t>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p>
    <w:p w14:paraId="2AC4061C">
      <w:pPr>
        <w:pStyle w:val="212"/>
        <w:pageBreakBefore w:val="0"/>
        <w:widowControl w:val="0"/>
        <w:spacing w:before="0" w:beforeAutospacing="0" w:after="0" w:afterAutospacing="0" w:line="420" w:lineRule="exact"/>
        <w:ind w:firstLine="480"/>
        <w:jc w:val="both"/>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33.3中小企业、监狱企业及残疾人福利性单位</w:t>
      </w:r>
    </w:p>
    <w:p w14:paraId="2E1C27C7">
      <w:pPr>
        <w:pStyle w:val="212"/>
        <w:pageBreakBefore w:val="0"/>
        <w:widowControl w:val="0"/>
        <w:spacing w:before="0" w:beforeAutospacing="0" w:after="0" w:afterAutospacing="0" w:line="420" w:lineRule="exact"/>
        <w:ind w:firstLine="480"/>
        <w:jc w:val="both"/>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3</w:t>
      </w:r>
      <w:r>
        <w:rPr>
          <w:rFonts w:hint="eastAsia" w:ascii="宋体" w:hAnsi="宋体" w:eastAsia="宋体" w:cs="宋体"/>
          <w:color w:val="000000"/>
          <w:sz w:val="24"/>
          <w:szCs w:val="24"/>
          <w:highlight w:val="none"/>
          <w:shd w:val="clear" w:color="auto" w:fill="auto"/>
          <w:lang w:val="en-US" w:eastAsia="zh-CN"/>
        </w:rPr>
        <w:t>3</w:t>
      </w:r>
      <w:r>
        <w:rPr>
          <w:rFonts w:hint="eastAsia" w:ascii="宋体" w:hAnsi="宋体" w:eastAsia="宋体" w:cs="宋体"/>
          <w:color w:val="000000"/>
          <w:sz w:val="24"/>
          <w:szCs w:val="24"/>
          <w:highlight w:val="none"/>
          <w:shd w:val="clear" w:color="auto" w:fill="auto"/>
        </w:rPr>
        <w:t>.3.1中小企业定义：</w:t>
      </w:r>
    </w:p>
    <w:p w14:paraId="067406C1">
      <w:pPr>
        <w:pStyle w:val="212"/>
        <w:pageBreakBefore w:val="0"/>
        <w:widowControl w:val="0"/>
        <w:spacing w:before="0" w:beforeAutospacing="0" w:after="0" w:afterAutospacing="0" w:line="420" w:lineRule="exact"/>
        <w:ind w:firstLine="480"/>
        <w:jc w:val="both"/>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w:t>
      </w:r>
      <w:r>
        <w:rPr>
          <w:rFonts w:hint="eastAsia" w:ascii="宋体" w:hAnsi="宋体" w:eastAsia="宋体" w:cs="宋体"/>
          <w:color w:val="000000"/>
          <w:sz w:val="24"/>
          <w:szCs w:val="24"/>
          <w:highlight w:val="none"/>
          <w:shd w:val="clear" w:color="auto" w:fill="auto"/>
          <w:lang w:eastAsia="zh-CN"/>
        </w:rPr>
        <w:t>》《</w:t>
      </w:r>
      <w:r>
        <w:rPr>
          <w:rFonts w:hint="eastAsia" w:ascii="宋体" w:hAnsi="宋体" w:eastAsia="宋体" w:cs="宋体"/>
          <w:color w:val="000000"/>
          <w:sz w:val="24"/>
          <w:szCs w:val="24"/>
          <w:highlight w:val="none"/>
          <w:shd w:val="clear" w:color="auto" w:fill="auto"/>
        </w:rPr>
        <w:t>政府采购促进中小企业发展管理办法》（财库〔2020〕46号）、《关于印发中小企业划型标准规定的通知》（工信部联企业〔2011〕300 号）、《国务院关于进一步促进中小企业发展的若干意见》（国发〔2009〕36 号）。</w:t>
      </w:r>
    </w:p>
    <w:p w14:paraId="485B1E00">
      <w:pPr>
        <w:pStyle w:val="212"/>
        <w:pageBreakBefore w:val="0"/>
        <w:widowControl w:val="0"/>
        <w:spacing w:before="0" w:beforeAutospacing="0" w:after="0" w:afterAutospacing="0" w:line="420" w:lineRule="exact"/>
        <w:ind w:firstLine="480"/>
        <w:jc w:val="both"/>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3</w:t>
      </w:r>
      <w:r>
        <w:rPr>
          <w:rFonts w:hint="eastAsia" w:ascii="宋体" w:hAnsi="宋体" w:eastAsia="宋体" w:cs="宋体"/>
          <w:color w:val="000000"/>
          <w:sz w:val="24"/>
          <w:szCs w:val="24"/>
          <w:highlight w:val="none"/>
          <w:shd w:val="clear" w:color="auto" w:fill="auto"/>
          <w:lang w:val="en-US" w:eastAsia="zh-CN"/>
        </w:rPr>
        <w:t>3</w:t>
      </w:r>
      <w:r>
        <w:rPr>
          <w:rFonts w:hint="eastAsia" w:ascii="宋体" w:hAnsi="宋体" w:eastAsia="宋体" w:cs="宋体"/>
          <w:color w:val="000000"/>
          <w:sz w:val="24"/>
          <w:szCs w:val="24"/>
          <w:highlight w:val="none"/>
          <w:shd w:val="clear" w:color="auto" w:fill="auto"/>
        </w:rPr>
        <w:t>.3.2供应商提供的货物、工程或者服务符合下列情形的，享受中小企业扶持政策：</w:t>
      </w:r>
    </w:p>
    <w:p w14:paraId="00EDD018">
      <w:pPr>
        <w:pStyle w:val="212"/>
        <w:pageBreakBefore w:val="0"/>
        <w:widowControl w:val="0"/>
        <w:spacing w:before="0" w:beforeAutospacing="0" w:after="0" w:afterAutospacing="0" w:line="420" w:lineRule="exact"/>
        <w:ind w:firstLine="480"/>
        <w:jc w:val="both"/>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3</w:t>
      </w:r>
      <w:r>
        <w:rPr>
          <w:rFonts w:hint="eastAsia" w:ascii="宋体" w:hAnsi="宋体" w:eastAsia="宋体" w:cs="宋体"/>
          <w:color w:val="000000"/>
          <w:sz w:val="24"/>
          <w:szCs w:val="24"/>
          <w:highlight w:val="none"/>
          <w:shd w:val="clear" w:color="auto" w:fill="auto"/>
          <w:lang w:val="en-US" w:eastAsia="zh-CN"/>
        </w:rPr>
        <w:t>3</w:t>
      </w:r>
      <w:r>
        <w:rPr>
          <w:rFonts w:hint="eastAsia" w:ascii="宋体" w:hAnsi="宋体" w:eastAsia="宋体" w:cs="宋体"/>
          <w:color w:val="000000"/>
          <w:sz w:val="24"/>
          <w:szCs w:val="24"/>
          <w:highlight w:val="none"/>
          <w:shd w:val="clear" w:color="auto" w:fill="auto"/>
        </w:rPr>
        <w:t>.3.2.1在货物采购项目中，货物由中小企业制造，即货物由中小企业生产且使用该中小企业商号或者注册商标；</w:t>
      </w:r>
    </w:p>
    <w:p w14:paraId="321706FF">
      <w:pPr>
        <w:pStyle w:val="212"/>
        <w:pageBreakBefore w:val="0"/>
        <w:widowControl w:val="0"/>
        <w:spacing w:before="0" w:beforeAutospacing="0" w:after="0" w:afterAutospacing="0" w:line="420" w:lineRule="exact"/>
        <w:ind w:firstLine="480"/>
        <w:jc w:val="both"/>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3</w:t>
      </w:r>
      <w:r>
        <w:rPr>
          <w:rFonts w:hint="eastAsia" w:ascii="宋体" w:hAnsi="宋体" w:eastAsia="宋体" w:cs="宋体"/>
          <w:color w:val="000000"/>
          <w:sz w:val="24"/>
          <w:szCs w:val="24"/>
          <w:highlight w:val="none"/>
          <w:shd w:val="clear" w:color="auto" w:fill="auto"/>
          <w:lang w:val="en-US" w:eastAsia="zh-CN"/>
        </w:rPr>
        <w:t>3</w:t>
      </w:r>
      <w:r>
        <w:rPr>
          <w:rFonts w:hint="eastAsia" w:ascii="宋体" w:hAnsi="宋体" w:eastAsia="宋体" w:cs="宋体"/>
          <w:color w:val="000000"/>
          <w:sz w:val="24"/>
          <w:szCs w:val="24"/>
          <w:highlight w:val="none"/>
          <w:shd w:val="clear" w:color="auto" w:fill="auto"/>
        </w:rPr>
        <w:t>.3.2.2在工程采购项目中，工程由中小企业承建，即工程施工单位为中小企业；</w:t>
      </w:r>
    </w:p>
    <w:p w14:paraId="1107D12E">
      <w:pPr>
        <w:pStyle w:val="212"/>
        <w:pageBreakBefore w:val="0"/>
        <w:widowControl w:val="0"/>
        <w:spacing w:before="0" w:beforeAutospacing="0" w:after="0" w:afterAutospacing="0" w:line="420" w:lineRule="exact"/>
        <w:ind w:firstLine="480"/>
        <w:jc w:val="both"/>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3</w:t>
      </w:r>
      <w:r>
        <w:rPr>
          <w:rFonts w:hint="eastAsia" w:ascii="宋体" w:hAnsi="宋体" w:eastAsia="宋体" w:cs="宋体"/>
          <w:color w:val="000000"/>
          <w:sz w:val="24"/>
          <w:szCs w:val="24"/>
          <w:highlight w:val="none"/>
          <w:shd w:val="clear" w:color="auto" w:fill="auto"/>
          <w:lang w:val="en-US" w:eastAsia="zh-CN"/>
        </w:rPr>
        <w:t>3</w:t>
      </w:r>
      <w:r>
        <w:rPr>
          <w:rFonts w:hint="eastAsia" w:ascii="宋体" w:hAnsi="宋体" w:eastAsia="宋体" w:cs="宋体"/>
          <w:color w:val="000000"/>
          <w:sz w:val="24"/>
          <w:szCs w:val="24"/>
          <w:highlight w:val="none"/>
          <w:shd w:val="clear" w:color="auto" w:fill="auto"/>
        </w:rPr>
        <w:t>.3.2.3在服务采购项目中，服务由中小企业承接，即提供服务的人员为中小企业依照《中华人民共和国劳动合同法》订立劳动合同的从业人员。</w:t>
      </w:r>
    </w:p>
    <w:p w14:paraId="432D5650">
      <w:pPr>
        <w:pStyle w:val="212"/>
        <w:pageBreakBefore w:val="0"/>
        <w:widowControl w:val="0"/>
        <w:spacing w:before="0" w:beforeAutospacing="0" w:after="0" w:afterAutospacing="0" w:line="420" w:lineRule="exact"/>
        <w:ind w:firstLine="480"/>
        <w:jc w:val="both"/>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3</w:t>
      </w:r>
      <w:r>
        <w:rPr>
          <w:rFonts w:hint="eastAsia" w:ascii="宋体" w:hAnsi="宋体" w:eastAsia="宋体" w:cs="宋体"/>
          <w:color w:val="000000"/>
          <w:sz w:val="24"/>
          <w:szCs w:val="24"/>
          <w:highlight w:val="none"/>
          <w:shd w:val="clear" w:color="auto" w:fill="auto"/>
          <w:lang w:val="en-US" w:eastAsia="zh-CN"/>
        </w:rPr>
        <w:t>3</w:t>
      </w:r>
      <w:r>
        <w:rPr>
          <w:rFonts w:hint="eastAsia" w:ascii="宋体" w:hAnsi="宋体" w:eastAsia="宋体" w:cs="宋体"/>
          <w:color w:val="000000"/>
          <w:sz w:val="24"/>
          <w:szCs w:val="24"/>
          <w:highlight w:val="none"/>
          <w:shd w:val="clear" w:color="auto" w:fill="auto"/>
        </w:rPr>
        <w:t>.3.3在货物采购项目中，供应商提供的货物既有中小企业制造货物，也有大型企业制造货物的，不享受中小企业扶持政策。</w:t>
      </w:r>
    </w:p>
    <w:p w14:paraId="51EF078C">
      <w:pPr>
        <w:pStyle w:val="212"/>
        <w:pageBreakBefore w:val="0"/>
        <w:widowControl w:val="0"/>
        <w:spacing w:before="0" w:beforeAutospacing="0" w:after="0" w:afterAutospacing="0" w:line="420" w:lineRule="exact"/>
        <w:ind w:firstLine="480"/>
        <w:jc w:val="both"/>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3</w:t>
      </w:r>
      <w:r>
        <w:rPr>
          <w:rFonts w:hint="eastAsia" w:ascii="宋体" w:hAnsi="宋体" w:eastAsia="宋体" w:cs="宋体"/>
          <w:color w:val="000000"/>
          <w:sz w:val="24"/>
          <w:szCs w:val="24"/>
          <w:highlight w:val="none"/>
          <w:shd w:val="clear" w:color="auto" w:fill="auto"/>
          <w:lang w:val="en-US" w:eastAsia="zh-CN"/>
        </w:rPr>
        <w:t>3</w:t>
      </w:r>
      <w:r>
        <w:rPr>
          <w:rFonts w:hint="eastAsia" w:ascii="宋体" w:hAnsi="宋体" w:eastAsia="宋体" w:cs="宋体"/>
          <w:color w:val="000000"/>
          <w:sz w:val="24"/>
          <w:szCs w:val="24"/>
          <w:highlight w:val="none"/>
          <w:shd w:val="clear" w:color="auto" w:fill="auto"/>
        </w:rPr>
        <w:t>.3.4以联合体形式参加政府采购活动，联合体各方均为中小企业的，联合体视同中小企业。其中，联合体各方均为小微企业的，联合体视同小微企业。</w:t>
      </w:r>
    </w:p>
    <w:p w14:paraId="1166A5E5">
      <w:pPr>
        <w:pStyle w:val="212"/>
        <w:pageBreakBefore w:val="0"/>
        <w:widowControl w:val="0"/>
        <w:spacing w:before="0" w:beforeAutospacing="0" w:after="0" w:afterAutospacing="0" w:line="420" w:lineRule="exact"/>
        <w:ind w:firstLine="480"/>
        <w:jc w:val="both"/>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3</w:t>
      </w:r>
      <w:r>
        <w:rPr>
          <w:rFonts w:hint="eastAsia" w:ascii="宋体" w:hAnsi="宋体" w:eastAsia="宋体" w:cs="宋体"/>
          <w:color w:val="000000"/>
          <w:sz w:val="24"/>
          <w:szCs w:val="24"/>
          <w:highlight w:val="none"/>
          <w:shd w:val="clear" w:color="auto" w:fill="auto"/>
          <w:lang w:val="en-US" w:eastAsia="zh-CN"/>
        </w:rPr>
        <w:t>3</w:t>
      </w:r>
      <w:r>
        <w:rPr>
          <w:rFonts w:hint="eastAsia" w:ascii="宋体" w:hAnsi="宋体" w:eastAsia="宋体" w:cs="宋体"/>
          <w:color w:val="000000"/>
          <w:sz w:val="24"/>
          <w:szCs w:val="24"/>
          <w:highlight w:val="none"/>
          <w:shd w:val="clear" w:color="auto" w:fill="auto"/>
        </w:rPr>
        <w:t>.3.5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65602E5E">
      <w:pPr>
        <w:pStyle w:val="212"/>
        <w:pageBreakBefore w:val="0"/>
        <w:widowControl w:val="0"/>
        <w:spacing w:before="0" w:beforeAutospacing="0" w:after="0" w:afterAutospacing="0" w:line="420" w:lineRule="exact"/>
        <w:ind w:firstLine="480"/>
        <w:jc w:val="both"/>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3</w:t>
      </w:r>
      <w:r>
        <w:rPr>
          <w:rFonts w:hint="eastAsia" w:ascii="宋体" w:hAnsi="宋体" w:eastAsia="宋体" w:cs="宋体"/>
          <w:color w:val="000000"/>
          <w:sz w:val="24"/>
          <w:szCs w:val="24"/>
          <w:highlight w:val="none"/>
          <w:shd w:val="clear" w:color="auto" w:fill="auto"/>
          <w:lang w:val="en-US" w:eastAsia="zh-CN"/>
        </w:rPr>
        <w:t>3</w:t>
      </w:r>
      <w:r>
        <w:rPr>
          <w:rFonts w:hint="eastAsia" w:ascii="宋体" w:hAnsi="宋体" w:eastAsia="宋体" w:cs="宋体"/>
          <w:color w:val="000000"/>
          <w:sz w:val="24"/>
          <w:szCs w:val="24"/>
          <w:highlight w:val="none"/>
          <w:shd w:val="clear" w:color="auto" w:fill="auto"/>
        </w:rPr>
        <w:t>.3.6残疾人福利单位定义：享受政府采购支持政策的残疾人福利性单位应当同时满足以下条件：</w:t>
      </w:r>
    </w:p>
    <w:p w14:paraId="28D450DF">
      <w:pPr>
        <w:pStyle w:val="212"/>
        <w:pageBreakBefore w:val="0"/>
        <w:widowControl w:val="0"/>
        <w:spacing w:before="0" w:beforeAutospacing="0" w:after="0" w:afterAutospacing="0" w:line="420" w:lineRule="exact"/>
        <w:ind w:firstLine="480"/>
        <w:jc w:val="both"/>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3</w:t>
      </w:r>
      <w:r>
        <w:rPr>
          <w:rFonts w:hint="eastAsia" w:ascii="宋体" w:hAnsi="宋体" w:eastAsia="宋体" w:cs="宋体"/>
          <w:color w:val="000000"/>
          <w:sz w:val="24"/>
          <w:szCs w:val="24"/>
          <w:highlight w:val="none"/>
          <w:shd w:val="clear" w:color="auto" w:fill="auto"/>
          <w:lang w:val="en-US" w:eastAsia="zh-CN"/>
        </w:rPr>
        <w:t>3</w:t>
      </w:r>
      <w:r>
        <w:rPr>
          <w:rFonts w:hint="eastAsia" w:ascii="宋体" w:hAnsi="宋体" w:eastAsia="宋体" w:cs="宋体"/>
          <w:color w:val="000000"/>
          <w:sz w:val="24"/>
          <w:szCs w:val="24"/>
          <w:highlight w:val="none"/>
          <w:shd w:val="clear" w:color="auto" w:fill="auto"/>
        </w:rPr>
        <w:t>.3.6.1安置的残疾人占本单位在职职工人数的比例不低于25%（含25%），并且安置的残疾人人数不少于10 人（含10 人）；</w:t>
      </w:r>
    </w:p>
    <w:p w14:paraId="4BE192E1">
      <w:pPr>
        <w:pStyle w:val="212"/>
        <w:pageBreakBefore w:val="0"/>
        <w:widowControl w:val="0"/>
        <w:spacing w:before="0" w:beforeAutospacing="0" w:after="0" w:afterAutospacing="0" w:line="420" w:lineRule="exact"/>
        <w:ind w:firstLine="480"/>
        <w:jc w:val="both"/>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3</w:t>
      </w:r>
      <w:r>
        <w:rPr>
          <w:rFonts w:hint="eastAsia" w:ascii="宋体" w:hAnsi="宋体" w:eastAsia="宋体" w:cs="宋体"/>
          <w:color w:val="000000"/>
          <w:sz w:val="24"/>
          <w:szCs w:val="24"/>
          <w:highlight w:val="none"/>
          <w:shd w:val="clear" w:color="auto" w:fill="auto"/>
          <w:lang w:val="en-US" w:eastAsia="zh-CN"/>
        </w:rPr>
        <w:t>3</w:t>
      </w:r>
      <w:r>
        <w:rPr>
          <w:rFonts w:hint="eastAsia" w:ascii="宋体" w:hAnsi="宋体" w:eastAsia="宋体" w:cs="宋体"/>
          <w:color w:val="000000"/>
          <w:sz w:val="24"/>
          <w:szCs w:val="24"/>
          <w:highlight w:val="none"/>
          <w:shd w:val="clear" w:color="auto" w:fill="auto"/>
        </w:rPr>
        <w:t>.3.6.2依法与安置的每位残疾人签订了一年以上（含一年）的劳动合同或服务协议；</w:t>
      </w:r>
    </w:p>
    <w:p w14:paraId="4FDF4973">
      <w:pPr>
        <w:pStyle w:val="212"/>
        <w:pageBreakBefore w:val="0"/>
        <w:widowControl w:val="0"/>
        <w:spacing w:before="0" w:beforeAutospacing="0" w:after="0" w:afterAutospacing="0" w:line="420" w:lineRule="exact"/>
        <w:ind w:firstLine="480"/>
        <w:jc w:val="both"/>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3</w:t>
      </w:r>
      <w:r>
        <w:rPr>
          <w:rFonts w:hint="eastAsia" w:ascii="宋体" w:hAnsi="宋体" w:eastAsia="宋体" w:cs="宋体"/>
          <w:color w:val="000000"/>
          <w:sz w:val="24"/>
          <w:szCs w:val="24"/>
          <w:highlight w:val="none"/>
          <w:shd w:val="clear" w:color="auto" w:fill="auto"/>
          <w:lang w:val="en-US" w:eastAsia="zh-CN"/>
        </w:rPr>
        <w:t>3</w:t>
      </w:r>
      <w:r>
        <w:rPr>
          <w:rFonts w:hint="eastAsia" w:ascii="宋体" w:hAnsi="宋体" w:eastAsia="宋体" w:cs="宋体"/>
          <w:color w:val="000000"/>
          <w:sz w:val="24"/>
          <w:szCs w:val="24"/>
          <w:highlight w:val="none"/>
          <w:shd w:val="clear" w:color="auto" w:fill="auto"/>
        </w:rPr>
        <w:t>.3.6.3为安置的每位残疾人按月足额缴纳了基本养老保险、基本医疗保险、失业保险、工伤保险和生育保险等社会保险费；</w:t>
      </w:r>
    </w:p>
    <w:p w14:paraId="620C7D72">
      <w:pPr>
        <w:pStyle w:val="212"/>
        <w:pageBreakBefore w:val="0"/>
        <w:widowControl w:val="0"/>
        <w:spacing w:before="0" w:beforeAutospacing="0" w:after="0" w:afterAutospacing="0" w:line="420" w:lineRule="exact"/>
        <w:ind w:firstLine="480"/>
        <w:jc w:val="both"/>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3</w:t>
      </w:r>
      <w:r>
        <w:rPr>
          <w:rFonts w:hint="eastAsia" w:ascii="宋体" w:hAnsi="宋体" w:eastAsia="宋体" w:cs="宋体"/>
          <w:color w:val="000000"/>
          <w:sz w:val="24"/>
          <w:szCs w:val="24"/>
          <w:highlight w:val="none"/>
          <w:shd w:val="clear" w:color="auto" w:fill="auto"/>
          <w:lang w:val="en-US" w:eastAsia="zh-CN"/>
        </w:rPr>
        <w:t>3</w:t>
      </w:r>
      <w:r>
        <w:rPr>
          <w:rFonts w:hint="eastAsia" w:ascii="宋体" w:hAnsi="宋体" w:eastAsia="宋体" w:cs="宋体"/>
          <w:color w:val="000000"/>
          <w:sz w:val="24"/>
          <w:szCs w:val="24"/>
          <w:highlight w:val="none"/>
          <w:shd w:val="clear" w:color="auto" w:fill="auto"/>
        </w:rPr>
        <w:t>.3.6.4通过银行等金融机构向安置的每位残疾人，按月支付了不低于单位所在区县适用的经省级人民政府批准的月最低工资标准的工资；</w:t>
      </w:r>
    </w:p>
    <w:p w14:paraId="2A6ED6B0">
      <w:pPr>
        <w:pStyle w:val="212"/>
        <w:pageBreakBefore w:val="0"/>
        <w:widowControl w:val="0"/>
        <w:spacing w:before="0" w:beforeAutospacing="0" w:after="0" w:afterAutospacing="0" w:line="420" w:lineRule="exact"/>
        <w:ind w:firstLine="480"/>
        <w:jc w:val="both"/>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3</w:t>
      </w:r>
      <w:r>
        <w:rPr>
          <w:rFonts w:hint="eastAsia" w:ascii="宋体" w:hAnsi="宋体" w:eastAsia="宋体" w:cs="宋体"/>
          <w:color w:val="000000"/>
          <w:sz w:val="24"/>
          <w:szCs w:val="24"/>
          <w:highlight w:val="none"/>
          <w:shd w:val="clear" w:color="auto" w:fill="auto"/>
          <w:lang w:val="en-US" w:eastAsia="zh-CN"/>
        </w:rPr>
        <w:t>3</w:t>
      </w:r>
      <w:r>
        <w:rPr>
          <w:rFonts w:hint="eastAsia" w:ascii="宋体" w:hAnsi="宋体" w:eastAsia="宋体" w:cs="宋体"/>
          <w:color w:val="000000"/>
          <w:sz w:val="24"/>
          <w:szCs w:val="24"/>
          <w:highlight w:val="none"/>
          <w:shd w:val="clear" w:color="auto" w:fill="auto"/>
        </w:rPr>
        <w:t>.3.6.5提供本单位制造的货物、承担的工程或者服务（以下简称产品），或者提供其他残疾人福利性单位制造的货物（不包括使用非残疾人福利性单位注册商标的货物）；</w:t>
      </w:r>
    </w:p>
    <w:p w14:paraId="5AEF61DF">
      <w:pPr>
        <w:pStyle w:val="212"/>
        <w:pageBreakBefore w:val="0"/>
        <w:widowControl w:val="0"/>
        <w:spacing w:before="0" w:beforeAutospacing="0" w:after="0" w:afterAutospacing="0" w:line="420" w:lineRule="exact"/>
        <w:ind w:firstLine="480"/>
        <w:jc w:val="both"/>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3</w:t>
      </w:r>
      <w:r>
        <w:rPr>
          <w:rFonts w:hint="eastAsia" w:ascii="宋体" w:hAnsi="宋体" w:eastAsia="宋体" w:cs="宋体"/>
          <w:color w:val="000000"/>
          <w:sz w:val="24"/>
          <w:szCs w:val="24"/>
          <w:highlight w:val="none"/>
          <w:shd w:val="clear" w:color="auto" w:fill="auto"/>
          <w:lang w:val="en-US" w:eastAsia="zh-CN"/>
        </w:rPr>
        <w:t>3</w:t>
      </w:r>
      <w:r>
        <w:rPr>
          <w:rFonts w:hint="eastAsia" w:ascii="宋体" w:hAnsi="宋体" w:eastAsia="宋体" w:cs="宋体"/>
          <w:color w:val="000000"/>
          <w:sz w:val="24"/>
          <w:szCs w:val="24"/>
          <w:highlight w:val="none"/>
          <w:shd w:val="clear" w:color="auto" w:fill="auto"/>
        </w:rPr>
        <w:t>.3.6.6前款所称残疾人是指法定劳动年龄内，持有《中华人民共和国残疾人证》或者《中华人民共和国残疾军人证（1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p>
    <w:p w14:paraId="51D29EB1">
      <w:pPr>
        <w:pStyle w:val="212"/>
        <w:pageBreakBefore w:val="0"/>
        <w:widowControl w:val="0"/>
        <w:spacing w:before="0" w:beforeAutospacing="0" w:after="0" w:afterAutospacing="0" w:line="420" w:lineRule="exact"/>
        <w:ind w:firstLine="480"/>
        <w:jc w:val="both"/>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3</w:t>
      </w:r>
      <w:r>
        <w:rPr>
          <w:rFonts w:hint="eastAsia" w:ascii="宋体" w:hAnsi="宋体" w:eastAsia="宋体" w:cs="宋体"/>
          <w:color w:val="000000"/>
          <w:sz w:val="24"/>
          <w:szCs w:val="24"/>
          <w:highlight w:val="none"/>
          <w:shd w:val="clear" w:color="auto" w:fill="auto"/>
          <w:lang w:val="en-US" w:eastAsia="zh-CN"/>
        </w:rPr>
        <w:t>3</w:t>
      </w:r>
      <w:r>
        <w:rPr>
          <w:rFonts w:hint="eastAsia" w:ascii="宋体" w:hAnsi="宋体" w:eastAsia="宋体" w:cs="宋体"/>
          <w:color w:val="000000"/>
          <w:sz w:val="24"/>
          <w:szCs w:val="24"/>
          <w:highlight w:val="none"/>
          <w:shd w:val="clear" w:color="auto" w:fill="auto"/>
        </w:rPr>
        <w:t>.3.7本项目是否专门面向中小企业预留采购份额见第一章《询价公告》。</w:t>
      </w:r>
    </w:p>
    <w:p w14:paraId="64B8118C">
      <w:pPr>
        <w:pStyle w:val="212"/>
        <w:pageBreakBefore w:val="0"/>
        <w:widowControl w:val="0"/>
        <w:spacing w:before="0" w:beforeAutospacing="0" w:after="0" w:afterAutospacing="0" w:line="420" w:lineRule="exact"/>
        <w:ind w:firstLine="480"/>
        <w:jc w:val="both"/>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lang w:val="en-US" w:eastAsia="zh-CN"/>
        </w:rPr>
        <w:t>33</w:t>
      </w:r>
      <w:r>
        <w:rPr>
          <w:rFonts w:hint="eastAsia" w:ascii="宋体" w:hAnsi="宋体" w:eastAsia="宋体" w:cs="宋体"/>
          <w:color w:val="000000"/>
          <w:sz w:val="24"/>
          <w:szCs w:val="24"/>
          <w:highlight w:val="none"/>
          <w:shd w:val="clear" w:color="auto" w:fill="auto"/>
        </w:rPr>
        <w:t>.3.8采购标的对应的中小企业划分标准所属行业见第四章《采购需求》。</w:t>
      </w:r>
    </w:p>
    <w:p w14:paraId="7FDAA80B">
      <w:pPr>
        <w:pStyle w:val="212"/>
        <w:pageBreakBefore w:val="0"/>
        <w:widowControl w:val="0"/>
        <w:spacing w:before="0" w:beforeAutospacing="0" w:after="0" w:afterAutospacing="0" w:line="420" w:lineRule="exact"/>
        <w:ind w:firstLine="480"/>
        <w:jc w:val="both"/>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33.4政府采购节能产品、环境标志产品</w:t>
      </w:r>
    </w:p>
    <w:p w14:paraId="6A774E83">
      <w:pPr>
        <w:pStyle w:val="212"/>
        <w:pageBreakBefore w:val="0"/>
        <w:widowControl w:val="0"/>
        <w:spacing w:before="0" w:beforeAutospacing="0" w:after="0" w:afterAutospacing="0" w:line="420" w:lineRule="exact"/>
        <w:ind w:firstLine="480"/>
        <w:jc w:val="both"/>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3</w:t>
      </w:r>
      <w:r>
        <w:rPr>
          <w:rFonts w:hint="eastAsia" w:ascii="宋体" w:hAnsi="宋体" w:eastAsia="宋体" w:cs="宋体"/>
          <w:color w:val="000000"/>
          <w:sz w:val="24"/>
          <w:szCs w:val="24"/>
          <w:highlight w:val="none"/>
          <w:shd w:val="clear" w:color="auto" w:fill="auto"/>
          <w:lang w:val="en-US" w:eastAsia="zh-CN"/>
        </w:rPr>
        <w:t>3</w:t>
      </w:r>
      <w:r>
        <w:rPr>
          <w:rFonts w:hint="eastAsia" w:ascii="宋体" w:hAnsi="宋体" w:eastAsia="宋体" w:cs="宋体"/>
          <w:color w:val="000000"/>
          <w:sz w:val="24"/>
          <w:szCs w:val="24"/>
          <w:highlight w:val="none"/>
          <w:shd w:val="clear" w:color="auto" w:fill="auto"/>
        </w:rPr>
        <w:t>.4.1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p>
    <w:p w14:paraId="451ABA2C">
      <w:pPr>
        <w:pStyle w:val="212"/>
        <w:pageBreakBefore w:val="0"/>
        <w:widowControl w:val="0"/>
        <w:spacing w:before="0" w:beforeAutospacing="0" w:after="0" w:afterAutospacing="0" w:line="420" w:lineRule="exact"/>
        <w:ind w:firstLine="480"/>
        <w:jc w:val="both"/>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3</w:t>
      </w:r>
      <w:r>
        <w:rPr>
          <w:rFonts w:hint="eastAsia" w:ascii="宋体" w:hAnsi="宋体" w:eastAsia="宋体" w:cs="宋体"/>
          <w:color w:val="000000"/>
          <w:sz w:val="24"/>
          <w:szCs w:val="24"/>
          <w:highlight w:val="none"/>
          <w:shd w:val="clear" w:color="auto" w:fill="auto"/>
          <w:lang w:val="en-US" w:eastAsia="zh-CN"/>
        </w:rPr>
        <w:t>3</w:t>
      </w:r>
      <w:r>
        <w:rPr>
          <w:rFonts w:hint="eastAsia" w:ascii="宋体" w:hAnsi="宋体" w:eastAsia="宋体" w:cs="宋体"/>
          <w:color w:val="000000"/>
          <w:sz w:val="24"/>
          <w:szCs w:val="24"/>
          <w:highlight w:val="none"/>
          <w:shd w:val="clear" w:color="auto" w:fill="auto"/>
        </w:rPr>
        <w:t>.4.2节能、环保产品的品目清单按照《关于印发环境标志产品政府采购品目清单的通知》（财库〔2019〕18号）、《关于印发节能产品政府采购品目清单的通知》（财库〔2019〕19号）执行。国家对品目清单进行调整的，按照最新调整的品目清单执行。</w:t>
      </w:r>
    </w:p>
    <w:p w14:paraId="01F33B75">
      <w:pPr>
        <w:pStyle w:val="212"/>
        <w:pageBreakBefore w:val="0"/>
        <w:widowControl w:val="0"/>
        <w:spacing w:before="0" w:beforeAutospacing="0" w:after="0" w:afterAutospacing="0" w:line="420" w:lineRule="exact"/>
        <w:ind w:firstLine="480"/>
        <w:jc w:val="both"/>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33.5绿色包装</w:t>
      </w:r>
    </w:p>
    <w:p w14:paraId="09390E86">
      <w:pPr>
        <w:pStyle w:val="212"/>
        <w:pageBreakBefore w:val="0"/>
        <w:widowControl w:val="0"/>
        <w:spacing w:before="0" w:beforeAutospacing="0" w:after="0" w:afterAutospacing="0" w:line="420" w:lineRule="exact"/>
        <w:ind w:firstLine="480"/>
        <w:jc w:val="both"/>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本项目中涉及商品的包装应按照“财办库〔2020〕123号《关于印发《商品包装政府采购需求标准（试行）》、《快递包装政府采购需求标准（试行）》的通知》”执行,在供货、安装过程中能做到低碳物流、环保节约、提高资源利用率。</w:t>
      </w:r>
    </w:p>
    <w:p w14:paraId="70D6D782">
      <w:pPr>
        <w:pStyle w:val="212"/>
        <w:pageBreakBefore w:val="0"/>
        <w:widowControl w:val="0"/>
        <w:spacing w:before="0" w:beforeAutospacing="0" w:after="0" w:afterAutospacing="0" w:line="420" w:lineRule="exact"/>
        <w:ind w:firstLine="480"/>
        <w:jc w:val="both"/>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33.6政府采购创新产品</w:t>
      </w:r>
    </w:p>
    <w:p w14:paraId="4A9B183F">
      <w:pPr>
        <w:pStyle w:val="212"/>
        <w:pageBreakBefore w:val="0"/>
        <w:widowControl w:val="0"/>
        <w:spacing w:before="0" w:beforeAutospacing="0" w:after="0" w:afterAutospacing="0" w:line="420" w:lineRule="exact"/>
        <w:ind w:firstLine="480"/>
        <w:jc w:val="both"/>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lang w:val="en-US" w:eastAsia="zh-CN"/>
        </w:rPr>
        <w:t>采购人优先采购各级政府部门公开发布的有效期内的创新产品、创新服务、首台套、首购首用等《目录》的创新产品</w:t>
      </w:r>
      <w:r>
        <w:rPr>
          <w:rFonts w:hint="eastAsia" w:ascii="宋体" w:hAnsi="宋体" w:eastAsia="宋体" w:cs="宋体"/>
          <w:color w:val="000000"/>
          <w:sz w:val="24"/>
          <w:szCs w:val="24"/>
          <w:highlight w:val="none"/>
          <w:shd w:val="clear" w:color="auto" w:fill="auto"/>
        </w:rPr>
        <w:t>。</w:t>
      </w:r>
    </w:p>
    <w:p w14:paraId="574767AE">
      <w:pPr>
        <w:pStyle w:val="212"/>
        <w:pageBreakBefore w:val="0"/>
        <w:widowControl w:val="0"/>
        <w:spacing w:before="0" w:beforeAutospacing="0" w:after="0" w:afterAutospacing="0" w:line="420" w:lineRule="exact"/>
        <w:ind w:firstLine="480"/>
        <w:jc w:val="both"/>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33.7绿色数据中心政策 </w:t>
      </w:r>
    </w:p>
    <w:p w14:paraId="015209D4">
      <w:pPr>
        <w:pStyle w:val="212"/>
        <w:pageBreakBefore w:val="0"/>
        <w:widowControl w:val="0"/>
        <w:spacing w:before="0" w:beforeAutospacing="0" w:after="0" w:afterAutospacing="0" w:line="420" w:lineRule="exact"/>
        <w:ind w:firstLine="480"/>
        <w:jc w:val="both"/>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本文件中若涉及到数据中心采购，采购人应依据《绿色数据中心政府采购需求标准（试行）》（财办库〔2023〕7号）文件精神，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询价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p>
    <w:p w14:paraId="49ECE0D6">
      <w:pPr>
        <w:pStyle w:val="212"/>
        <w:pageBreakBefore w:val="0"/>
        <w:widowControl w:val="0"/>
        <w:spacing w:before="0" w:beforeAutospacing="0" w:after="0" w:afterAutospacing="0" w:line="420" w:lineRule="exact"/>
        <w:ind w:firstLine="480"/>
        <w:jc w:val="both"/>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33.8履约保证金政策</w:t>
      </w:r>
    </w:p>
    <w:p w14:paraId="44AF9185">
      <w:pPr>
        <w:pStyle w:val="212"/>
        <w:pageBreakBefore w:val="0"/>
        <w:widowControl w:val="0"/>
        <w:spacing w:before="0" w:beforeAutospacing="0" w:after="0" w:afterAutospacing="0" w:line="420" w:lineRule="exact"/>
        <w:ind w:firstLine="480"/>
        <w:jc w:val="both"/>
        <w:rPr>
          <w:rFonts w:hint="eastAsia" w:ascii="宋体" w:hAnsi="宋体" w:eastAsia="宋体" w:cs="宋体"/>
          <w:color w:val="000000"/>
          <w:sz w:val="24"/>
          <w:szCs w:val="24"/>
          <w:highlight w:val="none"/>
          <w:shd w:val="clear" w:color="auto" w:fill="auto"/>
          <w:lang w:val="en-US" w:eastAsia="zh-CN"/>
        </w:rPr>
      </w:pPr>
      <w:bookmarkStart w:id="130" w:name="OLE_LINK1"/>
      <w:r>
        <w:rPr>
          <w:rFonts w:hint="eastAsia" w:ascii="宋体" w:hAnsi="宋体" w:eastAsia="宋体" w:cs="宋体"/>
          <w:color w:val="000000"/>
          <w:sz w:val="24"/>
          <w:szCs w:val="24"/>
          <w:highlight w:val="none"/>
          <w:shd w:val="clear" w:color="auto" w:fill="auto"/>
          <w:lang w:val="en-US" w:eastAsia="zh-CN"/>
        </w:rPr>
        <w:t>履约保证金的缴纳形式：</w:t>
      </w:r>
    </w:p>
    <w:p w14:paraId="1458B271">
      <w:pPr>
        <w:pStyle w:val="212"/>
        <w:pageBreakBefore w:val="0"/>
        <w:widowControl w:val="0"/>
        <w:spacing w:before="0" w:beforeAutospacing="0" w:after="0" w:afterAutospacing="0" w:line="420" w:lineRule="exact"/>
        <w:ind w:firstLine="480"/>
        <w:jc w:val="both"/>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本项目履约保证金按中标（合同）价的5%执行，中标人应在签订合同前将履约保证金应当以支票、汇票、本票或者金融机构、担保机构出具的</w:t>
      </w:r>
      <w:r>
        <w:rPr>
          <w:rFonts w:hint="eastAsia" w:cs="宋体"/>
          <w:color w:val="000000"/>
          <w:sz w:val="24"/>
          <w:szCs w:val="24"/>
          <w:highlight w:val="none"/>
          <w:shd w:val="clear" w:color="auto" w:fill="auto"/>
          <w:lang w:val="en-US" w:eastAsia="zh-CN"/>
        </w:rPr>
        <w:t>保函见索即付</w:t>
      </w:r>
      <w:r>
        <w:rPr>
          <w:rFonts w:hint="eastAsia" w:ascii="宋体" w:hAnsi="宋体" w:eastAsia="宋体" w:cs="宋体"/>
          <w:color w:val="000000"/>
          <w:sz w:val="24"/>
          <w:szCs w:val="24"/>
          <w:highlight w:val="none"/>
          <w:shd w:val="clear" w:color="auto" w:fill="auto"/>
          <w:lang w:val="en-US" w:eastAsia="zh-CN"/>
        </w:rPr>
        <w:t>等非现金形式提交履约保证金。以转账、电汇或银行汇票等形式从乙方的账户转至下列账户，</w:t>
      </w:r>
      <w:r>
        <w:rPr>
          <w:rFonts w:hint="eastAsia" w:ascii="宋体" w:hAnsi="宋体" w:eastAsia="宋体" w:cs="宋体"/>
          <w:b/>
          <w:bCs/>
          <w:color w:val="000000"/>
          <w:sz w:val="24"/>
          <w:szCs w:val="24"/>
          <w:highlight w:val="yellow"/>
          <w:shd w:val="clear" w:color="auto" w:fill="auto"/>
          <w:lang w:val="en-US" w:eastAsia="zh-CN"/>
        </w:rPr>
        <w:t>单位名称:阜宁县殡仪服务中心</w:t>
      </w:r>
      <w:r>
        <w:rPr>
          <w:rFonts w:hint="eastAsia" w:cs="宋体"/>
          <w:b/>
          <w:bCs/>
          <w:color w:val="000000"/>
          <w:sz w:val="24"/>
          <w:szCs w:val="24"/>
          <w:highlight w:val="yellow"/>
          <w:shd w:val="clear" w:color="auto" w:fill="auto"/>
          <w:lang w:val="en-US" w:eastAsia="zh-CN"/>
        </w:rPr>
        <w:t>，</w:t>
      </w:r>
      <w:r>
        <w:rPr>
          <w:rFonts w:hint="eastAsia" w:ascii="宋体" w:hAnsi="宋体" w:eastAsia="宋体" w:cs="宋体"/>
          <w:b/>
          <w:bCs/>
          <w:color w:val="000000"/>
          <w:sz w:val="24"/>
          <w:szCs w:val="24"/>
          <w:highlight w:val="yellow"/>
          <w:shd w:val="clear" w:color="auto" w:fill="auto"/>
          <w:lang w:val="en-US" w:eastAsia="zh-CN"/>
        </w:rPr>
        <w:t>银行</w:t>
      </w:r>
      <w:r>
        <w:rPr>
          <w:rFonts w:hint="eastAsia" w:cs="宋体"/>
          <w:b/>
          <w:bCs/>
          <w:color w:val="000000"/>
          <w:sz w:val="24"/>
          <w:szCs w:val="24"/>
          <w:highlight w:val="yellow"/>
          <w:shd w:val="clear" w:color="auto" w:fill="auto"/>
          <w:lang w:val="en-US" w:eastAsia="zh-CN"/>
        </w:rPr>
        <w:t>账</w:t>
      </w:r>
      <w:r>
        <w:rPr>
          <w:rFonts w:hint="eastAsia" w:ascii="宋体" w:hAnsi="宋体" w:eastAsia="宋体" w:cs="宋体"/>
          <w:b/>
          <w:bCs/>
          <w:color w:val="000000"/>
          <w:sz w:val="24"/>
          <w:szCs w:val="24"/>
          <w:highlight w:val="yellow"/>
          <w:shd w:val="clear" w:color="auto" w:fill="auto"/>
          <w:lang w:val="en-US" w:eastAsia="zh-CN"/>
        </w:rPr>
        <w:t>号:1109670109200188659</w:t>
      </w:r>
      <w:r>
        <w:rPr>
          <w:rFonts w:hint="eastAsia" w:cs="宋体"/>
          <w:b/>
          <w:bCs/>
          <w:color w:val="000000"/>
          <w:sz w:val="24"/>
          <w:szCs w:val="24"/>
          <w:highlight w:val="yellow"/>
          <w:shd w:val="clear" w:color="auto" w:fill="auto"/>
          <w:lang w:val="en-US" w:eastAsia="zh-CN"/>
        </w:rPr>
        <w:t>，</w:t>
      </w:r>
      <w:r>
        <w:rPr>
          <w:rFonts w:hint="eastAsia" w:ascii="宋体" w:hAnsi="宋体" w:eastAsia="宋体" w:cs="宋体"/>
          <w:b/>
          <w:bCs/>
          <w:color w:val="000000"/>
          <w:sz w:val="24"/>
          <w:szCs w:val="24"/>
          <w:highlight w:val="yellow"/>
          <w:shd w:val="clear" w:color="auto" w:fill="auto"/>
          <w:lang w:val="en-US" w:eastAsia="zh-CN"/>
        </w:rPr>
        <w:t>开户银行:工行阜宁支行营业部。</w:t>
      </w:r>
    </w:p>
    <w:p w14:paraId="52243E1B">
      <w:pPr>
        <w:pStyle w:val="212"/>
        <w:pageBreakBefore w:val="0"/>
        <w:widowControl w:val="0"/>
        <w:spacing w:before="0" w:beforeAutospacing="0" w:after="0" w:afterAutospacing="0" w:line="420" w:lineRule="exact"/>
        <w:ind w:firstLine="480"/>
        <w:jc w:val="both"/>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鼓励供应商以履约保函（保险）形式缴纳履约保证金，供应商可通过政府采购电子履约保函（保险）平台（www.jsdzbh.com）在线申请履约保函（保险）。采用保函形式提交的，其受益人为甲方，保函的有效期不得低于合同的履行期限。</w:t>
      </w:r>
    </w:p>
    <w:p w14:paraId="12B4CFD1">
      <w:pPr>
        <w:pStyle w:val="212"/>
        <w:pageBreakBefore w:val="0"/>
        <w:widowControl w:val="0"/>
        <w:spacing w:before="0" w:beforeAutospacing="0" w:after="0" w:afterAutospacing="0" w:line="420" w:lineRule="exact"/>
        <w:ind w:firstLine="480"/>
        <w:jc w:val="both"/>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采购人对第三方信用服务机构依据标准规范评定为 AA 级及以上的政府采购供应商（需在签订采购合同前提供信用管理部门备案的第三方信用报告，且信用报告通过“信用盐城网”可查实），免收履约保证金。</w:t>
      </w:r>
    </w:p>
    <w:bookmarkEnd w:id="130"/>
    <w:p w14:paraId="6CB47E5F">
      <w:pPr>
        <w:pStyle w:val="212"/>
        <w:pageBreakBefore w:val="0"/>
        <w:widowControl w:val="0"/>
        <w:spacing w:before="0" w:beforeAutospacing="0" w:after="0" w:afterAutospacing="0" w:line="420" w:lineRule="exact"/>
        <w:ind w:firstLine="480"/>
        <w:jc w:val="both"/>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34. 预付款制度</w:t>
      </w:r>
    </w:p>
    <w:p w14:paraId="2CC6CD41">
      <w:pPr>
        <w:pStyle w:val="212"/>
        <w:pageBreakBefore w:val="0"/>
        <w:widowControl w:val="0"/>
        <w:spacing w:before="0" w:beforeAutospacing="0" w:after="0" w:afterAutospacing="0" w:line="420" w:lineRule="exact"/>
        <w:ind w:firstLine="480"/>
        <w:jc w:val="both"/>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本项目落实预付款制度，预付款比例为30%。在签订合同时，中标、成交供应商明确书面表示无需预付款或者主动要求降低预付款比例的，采购人可就预付款比例作相应调整。</w:t>
      </w:r>
    </w:p>
    <w:p w14:paraId="4D717135">
      <w:pPr>
        <w:pageBreakBefore w:val="0"/>
        <w:widowControl/>
        <w:spacing w:line="420" w:lineRule="exact"/>
        <w:jc w:val="center"/>
        <w:rPr>
          <w:rFonts w:ascii="宋体" w:hAnsi="宋体" w:cs="宋体"/>
          <w:b/>
          <w:sz w:val="40"/>
          <w:szCs w:val="36"/>
        </w:rPr>
      </w:pPr>
      <w:r>
        <w:rPr>
          <w:rFonts w:hint="eastAsia" w:eastAsia="黑体"/>
          <w:color w:val="000000"/>
          <w:sz w:val="36"/>
          <w:szCs w:val="36"/>
          <w:highlight w:val="none"/>
          <w:shd w:val="clear" w:color="auto" w:fill="auto"/>
        </w:rPr>
        <w:br w:type="page" w:clear="all"/>
      </w:r>
      <w:bookmarkStart w:id="131" w:name="_Toc479757211"/>
      <w:bookmarkStart w:id="132" w:name="_Toc16938590"/>
      <w:bookmarkStart w:id="133" w:name="_Toc462564139"/>
      <w:bookmarkStart w:id="134" w:name="_Toc20823346"/>
      <w:bookmarkStart w:id="135" w:name="_Toc120614244"/>
      <w:r>
        <w:rPr>
          <w:rFonts w:hint="eastAsia" w:ascii="宋体" w:hAnsi="宋体" w:cs="宋体"/>
          <w:b/>
          <w:sz w:val="40"/>
          <w:szCs w:val="36"/>
        </w:rPr>
        <w:t>第三章  合同条款</w:t>
      </w:r>
    </w:p>
    <w:p w14:paraId="33B69718">
      <w:pPr>
        <w:pageBreakBefore w:val="0"/>
        <w:spacing w:line="420" w:lineRule="exact"/>
        <w:rPr>
          <w:rFonts w:ascii="宋体" w:hAnsi="宋体" w:cs="宋体"/>
        </w:rPr>
      </w:pPr>
      <w:bookmarkStart w:id="136" w:name="EB6d2006462e294de090c16e672cecc3bd"/>
      <w:bookmarkEnd w:id="136"/>
    </w:p>
    <w:p w14:paraId="23A40F9F">
      <w:pPr>
        <w:pageBreakBefore w:val="0"/>
        <w:spacing w:line="420" w:lineRule="exact"/>
        <w:jc w:val="center"/>
        <w:rPr>
          <w:rFonts w:ascii="宋体" w:hAnsi="宋体" w:cs="宋体"/>
          <w:b/>
          <w:bCs/>
          <w:spacing w:val="-20"/>
          <w:sz w:val="48"/>
          <w:szCs w:val="48"/>
        </w:rPr>
      </w:pPr>
      <w:bookmarkStart w:id="137" w:name="_Toc3995"/>
    </w:p>
    <w:p w14:paraId="3AC8FE4F">
      <w:pPr>
        <w:pageBreakBefore w:val="0"/>
        <w:spacing w:line="420" w:lineRule="exact"/>
        <w:jc w:val="center"/>
        <w:rPr>
          <w:rFonts w:ascii="宋体" w:hAnsi="宋体" w:cs="宋体"/>
          <w:b/>
          <w:bCs/>
          <w:spacing w:val="-20"/>
          <w:sz w:val="48"/>
          <w:szCs w:val="48"/>
        </w:rPr>
      </w:pPr>
    </w:p>
    <w:p w14:paraId="16FCFC5E">
      <w:pPr>
        <w:pageBreakBefore w:val="0"/>
        <w:spacing w:line="420" w:lineRule="exact"/>
        <w:jc w:val="both"/>
        <w:rPr>
          <w:rFonts w:ascii="宋体" w:hAnsi="宋体" w:cs="宋体"/>
          <w:sz w:val="30"/>
        </w:rPr>
      </w:pPr>
    </w:p>
    <w:p w14:paraId="3147B12F">
      <w:pPr>
        <w:pageBreakBefore w:val="0"/>
        <w:spacing w:line="420" w:lineRule="exact"/>
        <w:jc w:val="center"/>
        <w:rPr>
          <w:rFonts w:ascii="宋体" w:hAnsi="宋体" w:cs="宋体"/>
          <w:sz w:val="30"/>
        </w:rPr>
      </w:pPr>
      <w:r>
        <w:rPr>
          <w:rFonts w:hint="eastAsia" w:ascii="宋体" w:hAnsi="宋体" w:cs="宋体"/>
          <w:sz w:val="30"/>
        </w:rPr>
        <w:t>政府采购货物买卖合同</w:t>
      </w:r>
    </w:p>
    <w:p w14:paraId="1BE1C39E">
      <w:pPr>
        <w:pageBreakBefore w:val="0"/>
        <w:spacing w:line="420" w:lineRule="exact"/>
        <w:jc w:val="center"/>
        <w:rPr>
          <w:rFonts w:ascii="宋体" w:hAnsi="宋体" w:cs="宋体"/>
          <w:sz w:val="30"/>
        </w:rPr>
      </w:pPr>
    </w:p>
    <w:p w14:paraId="136CBD52">
      <w:pPr>
        <w:pageBreakBefore w:val="0"/>
        <w:spacing w:line="420" w:lineRule="exact"/>
        <w:rPr>
          <w:rFonts w:ascii="宋体" w:hAnsi="宋体" w:cs="宋体"/>
          <w:sz w:val="30"/>
        </w:rPr>
      </w:pPr>
    </w:p>
    <w:p w14:paraId="4FEA5227">
      <w:pPr>
        <w:pageBreakBefore w:val="0"/>
        <w:spacing w:line="420" w:lineRule="exact"/>
        <w:rPr>
          <w:rFonts w:ascii="宋体" w:hAnsi="宋体" w:cs="宋体"/>
          <w:sz w:val="30"/>
        </w:rPr>
      </w:pPr>
    </w:p>
    <w:p w14:paraId="4DC1C746">
      <w:pPr>
        <w:keepNext w:val="0"/>
        <w:keepLines w:val="0"/>
        <w:pageBreakBefore w:val="0"/>
        <w:widowControl w:val="0"/>
        <w:spacing w:line="420" w:lineRule="exact"/>
        <w:rPr>
          <w:rFonts w:ascii="宋体" w:hAnsi="宋体" w:cs="宋体"/>
          <w:sz w:val="30"/>
        </w:rPr>
      </w:pPr>
    </w:p>
    <w:p w14:paraId="182A8A9F">
      <w:pPr>
        <w:keepNext w:val="0"/>
        <w:keepLines w:val="0"/>
        <w:pageBreakBefore w:val="0"/>
        <w:widowControl w:val="0"/>
        <w:spacing w:line="420" w:lineRule="exact"/>
        <w:ind w:left="420"/>
        <w:rPr>
          <w:rFonts w:ascii="宋体" w:hAnsi="宋体" w:cs="宋体"/>
          <w:sz w:val="30"/>
        </w:rPr>
      </w:pPr>
      <w:r>
        <w:rPr>
          <w:rFonts w:hint="eastAsia" w:ascii="宋体" w:hAnsi="宋体" w:cs="宋体"/>
          <w:sz w:val="30"/>
        </w:rPr>
        <w:t>项目名称：</w:t>
      </w:r>
    </w:p>
    <w:p w14:paraId="66B997A8">
      <w:pPr>
        <w:keepNext w:val="0"/>
        <w:keepLines w:val="0"/>
        <w:pageBreakBefore w:val="0"/>
        <w:widowControl w:val="0"/>
        <w:spacing w:line="420" w:lineRule="exact"/>
        <w:ind w:left="420"/>
        <w:rPr>
          <w:rFonts w:ascii="宋体" w:hAnsi="宋体" w:cs="宋体"/>
          <w:sz w:val="30"/>
        </w:rPr>
      </w:pPr>
      <w:r>
        <w:rPr>
          <w:rFonts w:hint="eastAsia" w:ascii="宋体" w:hAnsi="宋体" w:cs="宋体"/>
          <w:sz w:val="30"/>
        </w:rPr>
        <w:t>合同编号：</w:t>
      </w:r>
    </w:p>
    <w:p w14:paraId="327F9481">
      <w:pPr>
        <w:keepNext w:val="0"/>
        <w:keepLines w:val="0"/>
        <w:pageBreakBefore w:val="0"/>
        <w:widowControl w:val="0"/>
        <w:spacing w:line="420" w:lineRule="exact"/>
        <w:ind w:left="420"/>
        <w:rPr>
          <w:rFonts w:ascii="宋体" w:hAnsi="宋体" w:cs="宋体"/>
          <w:sz w:val="30"/>
        </w:rPr>
      </w:pPr>
      <w:r>
        <w:rPr>
          <w:rFonts w:hint="eastAsia" w:ascii="宋体" w:hAnsi="宋体" w:cs="宋体"/>
          <w:sz w:val="30"/>
        </w:rPr>
        <w:t>甲    方：</w:t>
      </w:r>
    </w:p>
    <w:p w14:paraId="253E189C">
      <w:pPr>
        <w:keepNext w:val="0"/>
        <w:keepLines w:val="0"/>
        <w:pageBreakBefore w:val="0"/>
        <w:widowControl w:val="0"/>
        <w:spacing w:line="420" w:lineRule="exact"/>
        <w:ind w:left="420"/>
        <w:rPr>
          <w:rFonts w:ascii="宋体" w:hAnsi="宋体" w:cs="宋体"/>
          <w:sz w:val="30"/>
        </w:rPr>
      </w:pPr>
      <w:r>
        <w:rPr>
          <w:rFonts w:hint="eastAsia" w:ascii="宋体" w:hAnsi="宋体" w:cs="宋体"/>
          <w:sz w:val="30"/>
        </w:rPr>
        <w:t>乙    方：</w:t>
      </w:r>
    </w:p>
    <w:p w14:paraId="5DE5C8AB">
      <w:pPr>
        <w:keepNext w:val="0"/>
        <w:keepLines w:val="0"/>
        <w:pageBreakBefore w:val="0"/>
        <w:widowControl w:val="0"/>
        <w:spacing w:line="420" w:lineRule="exact"/>
        <w:ind w:left="420"/>
        <w:rPr>
          <w:rFonts w:ascii="宋体" w:hAnsi="宋体" w:cs="宋体"/>
          <w:sz w:val="30"/>
        </w:rPr>
      </w:pPr>
      <w:r>
        <w:rPr>
          <w:rFonts w:hint="eastAsia" w:ascii="宋体" w:hAnsi="宋体" w:cs="宋体"/>
          <w:sz w:val="30"/>
        </w:rPr>
        <w:t>签订时间：</w:t>
      </w:r>
    </w:p>
    <w:p w14:paraId="4E498549">
      <w:pPr>
        <w:pageBreakBefore w:val="0"/>
        <w:spacing w:line="420" w:lineRule="exact"/>
      </w:pPr>
    </w:p>
    <w:p w14:paraId="1B364C2C">
      <w:pPr>
        <w:pageBreakBefore w:val="0"/>
        <w:spacing w:line="420" w:lineRule="exact"/>
        <w:rPr>
          <w:rFonts w:eastAsia="黑体"/>
          <w:sz w:val="44"/>
          <w:szCs w:val="44"/>
        </w:rPr>
      </w:pPr>
      <w:r>
        <w:rPr>
          <w:rFonts w:eastAsia="黑体"/>
          <w:sz w:val="44"/>
          <w:szCs w:val="44"/>
        </w:rPr>
        <w:br w:type="page" w:clear="all"/>
      </w:r>
    </w:p>
    <w:p w14:paraId="199B66AF">
      <w:pPr>
        <w:pageBreakBefore w:val="0"/>
        <w:spacing w:line="420" w:lineRule="exact"/>
        <w:jc w:val="center"/>
        <w:rPr>
          <w:rFonts w:eastAsia="黑体"/>
          <w:sz w:val="44"/>
          <w:szCs w:val="44"/>
        </w:rPr>
      </w:pPr>
      <w:r>
        <w:rPr>
          <w:rFonts w:hint="eastAsia" w:eastAsia="黑体"/>
          <w:sz w:val="44"/>
          <w:szCs w:val="44"/>
        </w:rPr>
        <w:t>使用说明</w:t>
      </w:r>
    </w:p>
    <w:p w14:paraId="500D7704">
      <w:pPr>
        <w:pageBreakBefore w:val="0"/>
        <w:spacing w:line="420" w:lineRule="exact"/>
        <w:ind w:firstLine="640"/>
        <w:rPr>
          <w:rFonts w:ascii="仿宋_GB2312" w:hAnsi="仿宋_GB2312" w:eastAsia="仿宋_GB2312" w:cs="仿宋_GB2312"/>
          <w:sz w:val="32"/>
          <w:szCs w:val="32"/>
        </w:rPr>
      </w:pPr>
    </w:p>
    <w:p w14:paraId="32A7D6AF">
      <w:pPr>
        <w:pageBreakBefore w:val="0"/>
        <w:spacing w:line="420" w:lineRule="exact"/>
        <w:ind w:firstLine="640"/>
        <w:rPr>
          <w:rFonts w:ascii="仿宋_GB2312" w:hAnsi="仿宋_GB2312" w:eastAsia="仿宋_GB2312" w:cs="仿宋_GB2312"/>
          <w:sz w:val="32"/>
          <w:szCs w:val="32"/>
        </w:rPr>
      </w:pPr>
      <w:r>
        <w:rPr>
          <w:rFonts w:hint="eastAsia" w:ascii="仿宋_GB2312" w:hAnsi="仿宋_GB2312" w:eastAsia="仿宋_GB2312" w:cs="仿宋_GB2312"/>
          <w:sz w:val="32"/>
          <w:szCs w:val="32"/>
        </w:rPr>
        <w:t>1.本合同标准文本适用于购买现成货物的采购项目，不包括需要供应商定制开发、创新研发的货物采购项目。</w:t>
      </w:r>
    </w:p>
    <w:p w14:paraId="588DEDD6">
      <w:pPr>
        <w:pageBreakBefore w:val="0"/>
        <w:spacing w:line="420" w:lineRule="exact"/>
        <w:ind w:firstLine="640" w:firstLineChars="200"/>
        <w:rPr>
          <w:rFonts w:eastAsia="黑体"/>
          <w:sz w:val="44"/>
          <w:szCs w:val="44"/>
        </w:rPr>
      </w:pPr>
      <w:r>
        <w:rPr>
          <w:rFonts w:hint="eastAsia" w:ascii="仿宋_GB2312" w:hAnsi="仿宋_GB2312" w:eastAsia="仿宋_GB2312" w:cs="仿宋_GB2312"/>
          <w:sz w:val="32"/>
          <w:szCs w:val="32"/>
        </w:rPr>
        <w:t>2.本合同标准文本为政府采购货物买卖合同编制提供参考，可以结合采购项目具体情况，对文本作必要的调整修订后使用。</w:t>
      </w:r>
    </w:p>
    <w:p w14:paraId="28DEB60A">
      <w:pPr>
        <w:pageBreakBefore w:val="0"/>
        <w:spacing w:line="420" w:lineRule="exact"/>
        <w:ind w:firstLine="640"/>
        <w:rPr>
          <w:rFonts w:ascii="仿宋_GB2312" w:hAnsi="仿宋_GB2312" w:eastAsia="仿宋_GB2312" w:cs="仿宋_GB2312"/>
          <w:sz w:val="32"/>
          <w:szCs w:val="32"/>
        </w:rPr>
      </w:pPr>
      <w:r>
        <w:rPr>
          <w:rFonts w:hint="eastAsia" w:ascii="仿宋_GB2312" w:hAnsi="仿宋_GB2312" w:eastAsia="仿宋_GB2312" w:cs="仿宋_GB2312"/>
          <w:sz w:val="32"/>
          <w:szCs w:val="32"/>
        </w:rPr>
        <w:t>3.本合同标准文本各条款中，如涉及填写多家供应商、制造商，多种采购标的、分包主要内容等信息的，可根据采购项目具体情况添加信息项。</w:t>
      </w:r>
    </w:p>
    <w:bookmarkEnd w:id="137"/>
    <w:p w14:paraId="3CA4FBB6">
      <w:pPr>
        <w:pageBreakBefore w:val="0"/>
        <w:spacing w:line="420" w:lineRule="exact"/>
        <w:ind w:firstLine="880"/>
        <w:rPr>
          <w:rFonts w:eastAsia="黑体"/>
          <w:sz w:val="44"/>
          <w:szCs w:val="44"/>
        </w:rPr>
        <w:sectPr>
          <w:footerReference r:id="rId3" w:type="default"/>
          <w:pgSz w:w="11906" w:h="16838"/>
          <w:pgMar w:top="1440" w:right="1689" w:bottom="1440" w:left="1689" w:header="851" w:footer="992" w:gutter="0"/>
          <w:pgNumType w:fmt="decimal" w:start="1"/>
          <w:cols w:space="720" w:num="1"/>
          <w:docGrid w:linePitch="360" w:charSpace="0"/>
        </w:sectPr>
      </w:pPr>
    </w:p>
    <w:p w14:paraId="28DD44C1">
      <w:pPr>
        <w:keepNext/>
        <w:keepLines/>
        <w:pageBreakBefore w:val="0"/>
        <w:spacing w:line="420" w:lineRule="exact"/>
        <w:jc w:val="center"/>
        <w:outlineLvl w:val="1"/>
        <w:rPr>
          <w:rFonts w:ascii="黑体" w:hAnsi="黑体" w:eastAsia="黑体"/>
          <w:b/>
          <w:bCs/>
          <w:sz w:val="28"/>
          <w:szCs w:val="28"/>
        </w:rPr>
      </w:pPr>
      <w:bookmarkStart w:id="138" w:name="_Toc22209"/>
    </w:p>
    <w:p w14:paraId="761BBD19">
      <w:pPr>
        <w:keepNext/>
        <w:keepLines/>
        <w:pageBreakBefore w:val="0"/>
        <w:spacing w:line="420" w:lineRule="exact"/>
        <w:jc w:val="center"/>
        <w:outlineLvl w:val="1"/>
        <w:rPr>
          <w:rFonts w:ascii="黑体" w:hAnsi="华文中宋" w:eastAsia="黑体"/>
          <w:sz w:val="28"/>
          <w:szCs w:val="28"/>
        </w:rPr>
      </w:pPr>
      <w:r>
        <w:rPr>
          <w:rFonts w:hint="eastAsia" w:ascii="黑体" w:hAnsi="黑体" w:eastAsia="黑体"/>
          <w:sz w:val="28"/>
          <w:szCs w:val="28"/>
        </w:rPr>
        <w:t xml:space="preserve">第一节 </w:t>
      </w:r>
      <w:r>
        <w:rPr>
          <w:rFonts w:hint="eastAsia" w:ascii="黑体" w:hAnsi="华文中宋" w:eastAsia="黑体"/>
          <w:sz w:val="28"/>
          <w:szCs w:val="28"/>
        </w:rPr>
        <w:t>政府采购合同协议书</w:t>
      </w:r>
      <w:bookmarkEnd w:id="138"/>
    </w:p>
    <w:p w14:paraId="27BE9C02">
      <w:pPr>
        <w:keepNext/>
        <w:keepLines/>
        <w:pageBreakBefore w:val="0"/>
        <w:spacing w:line="420" w:lineRule="exact"/>
        <w:jc w:val="center"/>
        <w:outlineLvl w:val="1"/>
        <w:rPr>
          <w:rFonts w:ascii="黑体" w:hAnsi="华文中宋" w:eastAsia="黑体"/>
          <w:sz w:val="28"/>
          <w:szCs w:val="28"/>
        </w:rPr>
      </w:pPr>
    </w:p>
    <w:p w14:paraId="7FEF672A">
      <w:pPr>
        <w:pageBreakBefore w:val="0"/>
        <w:spacing w:line="420" w:lineRule="exact"/>
        <w:rPr>
          <w:rFonts w:ascii="宋体" w:hAnsi="宋体"/>
          <w:sz w:val="24"/>
        </w:rPr>
      </w:pPr>
      <w:r>
        <w:rPr>
          <w:rFonts w:hint="eastAsia" w:ascii="宋体" w:hAnsi="宋体"/>
          <w:sz w:val="24"/>
        </w:rPr>
        <w:t>甲方（全称）：</w:t>
      </w:r>
    </w:p>
    <w:p w14:paraId="411A3F15">
      <w:pPr>
        <w:pageBreakBefore w:val="0"/>
        <w:spacing w:line="420" w:lineRule="exact"/>
        <w:rPr>
          <w:rFonts w:ascii="宋体" w:hAnsi="宋体"/>
          <w:sz w:val="24"/>
        </w:rPr>
      </w:pPr>
      <w:r>
        <w:rPr>
          <w:rFonts w:hint="eastAsia" w:ascii="宋体" w:hAnsi="宋体"/>
          <w:sz w:val="24"/>
        </w:rPr>
        <w:t>乙方（全称）：</w:t>
      </w:r>
      <w:r>
        <w:rPr>
          <w:rFonts w:ascii="宋体" w:hAnsi="宋体"/>
          <w:sz w:val="24"/>
        </w:rPr>
        <w:t xml:space="preserve"> </w:t>
      </w:r>
    </w:p>
    <w:p w14:paraId="06573727">
      <w:pPr>
        <w:pageBreakBefore w:val="0"/>
        <w:spacing w:line="420" w:lineRule="exact"/>
        <w:ind w:firstLine="480"/>
        <w:rPr>
          <w:rFonts w:ascii="宋体" w:hAnsi="宋体"/>
          <w:sz w:val="24"/>
        </w:rPr>
      </w:pPr>
      <w:r>
        <w:rPr>
          <w:rFonts w:hint="eastAsia" w:ascii="宋体" w:hAnsi="宋体"/>
          <w:sz w:val="24"/>
        </w:rPr>
        <w:t xml:space="preserve">依据《中华人民共和国民法典》、《中华人民共和国政府采购法》等有关的法律法规，以及本采购项目的招标/谈判文件等文件、乙方的《投标（响应）文件》及《中标（成交）通知书》，甲乙双方同意签订本合同。具体情况及要求如下：     </w:t>
      </w:r>
    </w:p>
    <w:p w14:paraId="5385D99F">
      <w:pPr>
        <w:pageBreakBefore w:val="0"/>
        <w:numPr>
          <w:ilvl w:val="0"/>
          <w:numId w:val="1"/>
        </w:numPr>
        <w:spacing w:line="420" w:lineRule="exact"/>
        <w:ind w:firstLine="482"/>
        <w:rPr>
          <w:rFonts w:ascii="宋体" w:hAnsi="宋体"/>
          <w:b/>
          <w:sz w:val="24"/>
        </w:rPr>
      </w:pPr>
      <w:r>
        <w:rPr>
          <w:rFonts w:hint="eastAsia" w:ascii="宋体" w:hAnsi="宋体"/>
          <w:b/>
          <w:sz w:val="24"/>
        </w:rPr>
        <w:t>项目信息</w:t>
      </w:r>
    </w:p>
    <w:p w14:paraId="435E63DC">
      <w:pPr>
        <w:pageBreakBefore w:val="0"/>
        <w:numPr>
          <w:ilvl w:val="0"/>
          <w:numId w:val="2"/>
        </w:numPr>
        <w:spacing w:line="420" w:lineRule="exact"/>
        <w:ind w:firstLine="480"/>
        <w:rPr>
          <w:rFonts w:ascii="宋体" w:hAnsi="宋体"/>
          <w:sz w:val="24"/>
          <w:u w:val="single"/>
        </w:rPr>
      </w:pPr>
      <w:r>
        <w:rPr>
          <w:rFonts w:hint="eastAsia" w:ascii="宋体" w:hAnsi="宋体"/>
          <w:sz w:val="24"/>
        </w:rPr>
        <w:t>采购项目名称：</w:t>
      </w:r>
    </w:p>
    <w:p w14:paraId="0854D277">
      <w:pPr>
        <w:pageBreakBefore w:val="0"/>
        <w:tabs>
          <w:tab w:val="left" w:pos="999"/>
        </w:tabs>
        <w:spacing w:line="420" w:lineRule="exact"/>
        <w:rPr>
          <w:rFonts w:ascii="宋体" w:hAnsi="宋体"/>
          <w:sz w:val="24"/>
        </w:rPr>
      </w:pPr>
      <w:r>
        <w:rPr>
          <w:rFonts w:hint="eastAsia" w:ascii="宋体" w:hAnsi="宋体"/>
          <w:sz w:val="24"/>
        </w:rPr>
        <w:t xml:space="preserve">         采购项目编号：</w:t>
      </w:r>
    </w:p>
    <w:p w14:paraId="1DE6AD68">
      <w:pPr>
        <w:pageBreakBefore w:val="0"/>
        <w:spacing w:line="420" w:lineRule="exact"/>
        <w:ind w:firstLine="480"/>
        <w:rPr>
          <w:rFonts w:ascii="宋体" w:hAnsi="宋体"/>
          <w:sz w:val="24"/>
        </w:rPr>
      </w:pPr>
      <w:r>
        <w:rPr>
          <w:rFonts w:hint="eastAsia" w:ascii="宋体" w:hAnsi="宋体"/>
          <w:sz w:val="24"/>
        </w:rPr>
        <w:t>（2）采购计划编号：</w:t>
      </w:r>
    </w:p>
    <w:p w14:paraId="1381E3B3">
      <w:pPr>
        <w:pageBreakBefore w:val="0"/>
        <w:spacing w:line="420" w:lineRule="exact"/>
        <w:ind w:firstLine="480"/>
        <w:rPr>
          <w:rFonts w:ascii="宋体" w:hAnsi="宋体"/>
          <w:sz w:val="24"/>
        </w:rPr>
      </w:pPr>
      <w:r>
        <w:rPr>
          <w:rFonts w:hint="eastAsia" w:ascii="宋体" w:hAnsi="宋体"/>
          <w:sz w:val="24"/>
        </w:rPr>
        <w:t>（3）项目内容：</w:t>
      </w:r>
    </w:p>
    <w:p w14:paraId="2089D173">
      <w:pPr>
        <w:pageBreakBefore w:val="0"/>
        <w:spacing w:line="420" w:lineRule="exact"/>
        <w:ind w:firstLine="480"/>
        <w:rPr>
          <w:rFonts w:ascii="宋体" w:hAnsi="宋体"/>
          <w:sz w:val="24"/>
        </w:rPr>
      </w:pPr>
      <w:r>
        <w:rPr>
          <w:rFonts w:hint="eastAsia" w:ascii="宋体" w:hAnsi="宋体"/>
          <w:sz w:val="24"/>
        </w:rPr>
        <w:t>采购标的及数量（台/套</w:t>
      </w:r>
      <w:r>
        <w:rPr>
          <w:rFonts w:ascii="宋体" w:hAnsi="宋体"/>
          <w:sz w:val="24"/>
        </w:rPr>
        <w:t>/</w:t>
      </w:r>
      <w:r>
        <w:rPr>
          <w:rFonts w:hint="eastAsia" w:ascii="宋体" w:hAnsi="宋体"/>
          <w:sz w:val="24"/>
        </w:rPr>
        <w:t>个</w:t>
      </w:r>
      <w:r>
        <w:rPr>
          <w:rFonts w:ascii="宋体" w:hAnsi="宋体"/>
          <w:sz w:val="24"/>
        </w:rPr>
        <w:t>/</w:t>
      </w:r>
      <w:r>
        <w:rPr>
          <w:rFonts w:hint="eastAsia" w:ascii="宋体" w:hAnsi="宋体"/>
          <w:sz w:val="24"/>
        </w:rPr>
        <w:t>架</w:t>
      </w:r>
      <w:r>
        <w:rPr>
          <w:rFonts w:ascii="宋体" w:hAnsi="宋体"/>
          <w:sz w:val="24"/>
        </w:rPr>
        <w:t>/</w:t>
      </w:r>
      <w:r>
        <w:rPr>
          <w:rFonts w:hint="eastAsia" w:ascii="宋体" w:hAnsi="宋体"/>
          <w:sz w:val="24"/>
        </w:rPr>
        <w:t>组等）：</w:t>
      </w:r>
    </w:p>
    <w:p w14:paraId="418A0708">
      <w:pPr>
        <w:pageBreakBefore w:val="0"/>
        <w:spacing w:line="420" w:lineRule="exact"/>
        <w:ind w:firstLine="480"/>
        <w:rPr>
          <w:rFonts w:ascii="宋体" w:hAnsi="宋体" w:cs="宋体"/>
          <w:sz w:val="24"/>
        </w:rPr>
      </w:pPr>
      <w:r>
        <w:rPr>
          <w:rFonts w:hint="eastAsia" w:ascii="宋体" w:hAnsi="宋体" w:cs="宋体"/>
          <w:sz w:val="24"/>
        </w:rPr>
        <w:t>品牌：规格型号：</w:t>
      </w:r>
    </w:p>
    <w:p w14:paraId="51DFC3D7">
      <w:pPr>
        <w:pageBreakBefore w:val="0"/>
        <w:spacing w:line="420" w:lineRule="exact"/>
        <w:ind w:firstLine="1080"/>
        <w:rPr>
          <w:rFonts w:ascii="宋体" w:hAnsi="宋体"/>
          <w:sz w:val="24"/>
          <w:u w:val="single"/>
        </w:rPr>
      </w:pPr>
      <w:r>
        <w:rPr>
          <w:rFonts w:hint="eastAsia" w:ascii="宋体" w:hAnsi="宋体"/>
          <w:sz w:val="24"/>
        </w:rPr>
        <w:t>采购标的的技术要求、商务要求具体见附件。</w:t>
      </w:r>
    </w:p>
    <w:p w14:paraId="07FA1611">
      <w:pPr>
        <w:pageBreakBefore w:val="0"/>
        <w:spacing w:line="420" w:lineRule="exact"/>
        <w:ind w:firstLine="1080"/>
        <w:rPr>
          <w:rFonts w:ascii="宋体" w:hAnsi="宋体" w:cs="宋体"/>
          <w:sz w:val="24"/>
        </w:rPr>
      </w:pPr>
      <w:r>
        <w:rPr>
          <w:rFonts w:hint="eastAsia" w:ascii="宋体" w:hAnsi="宋体" w:cs="宋体"/>
          <w:sz w:val="24"/>
        </w:rPr>
        <w:t>①涉及信息类产品，请填写该产品关键部件的品牌、型号：</w:t>
      </w:r>
    </w:p>
    <w:p w14:paraId="7ACEF563">
      <w:pPr>
        <w:pageBreakBefore w:val="0"/>
        <w:spacing w:line="420" w:lineRule="exact"/>
        <w:ind w:firstLine="480"/>
        <w:rPr>
          <w:rFonts w:ascii="宋体" w:hAnsi="宋体" w:cs="宋体"/>
          <w:sz w:val="24"/>
          <w:u w:val="single"/>
        </w:rPr>
      </w:pPr>
      <w:r>
        <w:rPr>
          <w:rFonts w:hint="eastAsia" w:ascii="宋体" w:hAnsi="宋体" w:cs="宋体"/>
          <w:sz w:val="24"/>
        </w:rPr>
        <w:t xml:space="preserve">     标的名称：</w:t>
      </w:r>
    </w:p>
    <w:p w14:paraId="2A2279B2">
      <w:pPr>
        <w:pageBreakBefore w:val="0"/>
        <w:spacing w:line="420" w:lineRule="exact"/>
        <w:ind w:firstLine="480"/>
        <w:rPr>
          <w:rFonts w:ascii="宋体" w:hAnsi="宋体" w:cs="宋体"/>
          <w:szCs w:val="21"/>
        </w:rPr>
      </w:pPr>
      <w:r>
        <w:rPr>
          <w:rFonts w:hint="eastAsia" w:ascii="宋体" w:hAnsi="宋体" w:cs="宋体"/>
          <w:sz w:val="24"/>
        </w:rPr>
        <w:t xml:space="preserve">     </w:t>
      </w:r>
      <w:r>
        <w:rPr>
          <w:rFonts w:hint="eastAsia" w:ascii="宋体" w:hAnsi="宋体" w:cs="宋体"/>
          <w:szCs w:val="21"/>
        </w:rPr>
        <w:t>关键部件：</w:t>
      </w:r>
      <w:r>
        <w:rPr>
          <w:rFonts w:hint="eastAsia" w:ascii="宋体" w:hAnsi="宋体" w:cs="宋体"/>
          <w:szCs w:val="21"/>
          <w:u w:val="single"/>
        </w:rPr>
        <w:t xml:space="preserve">          </w:t>
      </w:r>
      <w:r>
        <w:rPr>
          <w:rFonts w:hint="eastAsia" w:ascii="宋体" w:hAnsi="宋体" w:cs="宋体"/>
          <w:szCs w:val="21"/>
        </w:rPr>
        <w:t xml:space="preserve"> 品牌：</w:t>
      </w:r>
      <w:r>
        <w:rPr>
          <w:rFonts w:hint="eastAsia" w:ascii="宋体" w:hAnsi="宋体" w:cs="宋体"/>
          <w:szCs w:val="21"/>
          <w:u w:val="single"/>
        </w:rPr>
        <w:t xml:space="preserve">        </w:t>
      </w:r>
      <w:r>
        <w:rPr>
          <w:rFonts w:hint="eastAsia" w:ascii="宋体" w:hAnsi="宋体" w:cs="宋体"/>
          <w:szCs w:val="21"/>
        </w:rPr>
        <w:t xml:space="preserve"> 型号：</w:t>
      </w:r>
      <w:r>
        <w:rPr>
          <w:rFonts w:hint="eastAsia" w:ascii="宋体" w:hAnsi="宋体" w:cs="宋体"/>
          <w:szCs w:val="21"/>
          <w:u w:val="single"/>
        </w:rPr>
        <w:t xml:space="preserve">       </w:t>
      </w:r>
      <w:r>
        <w:rPr>
          <w:rFonts w:hint="eastAsia" w:ascii="宋体" w:hAnsi="宋体" w:cs="宋体"/>
          <w:szCs w:val="21"/>
        </w:rPr>
        <w:t xml:space="preserve"> </w:t>
      </w:r>
    </w:p>
    <w:p w14:paraId="208A29B7">
      <w:pPr>
        <w:pStyle w:val="226"/>
        <w:pageBreakBefore w:val="0"/>
        <w:spacing w:line="420" w:lineRule="exact"/>
        <w:ind w:firstLine="420"/>
        <w:rPr>
          <w:rFonts w:ascii="宋体" w:hAnsi="宋体" w:eastAsia="宋体" w:cs="宋体"/>
          <w:sz w:val="21"/>
        </w:rPr>
      </w:pPr>
      <w:r>
        <w:rPr>
          <w:rFonts w:hint="eastAsia" w:ascii="宋体" w:hAnsi="宋体" w:eastAsia="宋体" w:cs="宋体"/>
          <w:sz w:val="21"/>
        </w:rPr>
        <w:t xml:space="preserve">     关键部件：</w:t>
      </w:r>
      <w:r>
        <w:rPr>
          <w:rFonts w:hint="eastAsia" w:ascii="宋体" w:hAnsi="宋体" w:eastAsia="宋体" w:cs="宋体"/>
          <w:sz w:val="21"/>
          <w:u w:val="single"/>
        </w:rPr>
        <w:t xml:space="preserve">          </w:t>
      </w:r>
      <w:r>
        <w:rPr>
          <w:rFonts w:hint="eastAsia" w:ascii="宋体" w:hAnsi="宋体" w:eastAsia="宋体" w:cs="宋体"/>
          <w:sz w:val="21"/>
        </w:rPr>
        <w:t xml:space="preserve"> 品牌：</w:t>
      </w:r>
      <w:r>
        <w:rPr>
          <w:rFonts w:hint="eastAsia" w:ascii="宋体" w:hAnsi="宋体" w:eastAsia="宋体" w:cs="宋体"/>
          <w:sz w:val="21"/>
          <w:u w:val="single"/>
        </w:rPr>
        <w:t xml:space="preserve">        </w:t>
      </w:r>
      <w:r>
        <w:rPr>
          <w:rFonts w:hint="eastAsia" w:ascii="宋体" w:hAnsi="宋体" w:eastAsia="宋体" w:cs="宋体"/>
          <w:sz w:val="21"/>
        </w:rPr>
        <w:t xml:space="preserve"> 型号：</w:t>
      </w:r>
      <w:r>
        <w:rPr>
          <w:rFonts w:hint="eastAsia" w:ascii="宋体" w:hAnsi="宋体" w:eastAsia="宋体" w:cs="宋体"/>
          <w:sz w:val="21"/>
          <w:u w:val="single"/>
        </w:rPr>
        <w:t xml:space="preserve">       </w:t>
      </w:r>
      <w:r>
        <w:rPr>
          <w:rFonts w:hint="eastAsia" w:ascii="宋体" w:hAnsi="宋体" w:eastAsia="宋体" w:cs="宋体"/>
          <w:sz w:val="21"/>
        </w:rPr>
        <w:t xml:space="preserve"> </w:t>
      </w:r>
    </w:p>
    <w:p w14:paraId="2B43AB81">
      <w:pPr>
        <w:pStyle w:val="226"/>
        <w:pageBreakBefore w:val="0"/>
        <w:spacing w:line="420" w:lineRule="exact"/>
        <w:ind w:firstLine="420"/>
        <w:rPr>
          <w:rFonts w:ascii="宋体" w:hAnsi="宋体" w:eastAsia="宋体" w:cs="宋体"/>
          <w:sz w:val="21"/>
        </w:rPr>
      </w:pPr>
      <w:r>
        <w:rPr>
          <w:rFonts w:hint="eastAsia" w:ascii="宋体" w:hAnsi="宋体" w:eastAsia="宋体" w:cs="宋体"/>
          <w:sz w:val="21"/>
        </w:rPr>
        <w:t xml:space="preserve">     关键部件：</w:t>
      </w:r>
      <w:r>
        <w:rPr>
          <w:rFonts w:hint="eastAsia" w:ascii="宋体" w:hAnsi="宋体" w:eastAsia="宋体" w:cs="宋体"/>
          <w:sz w:val="21"/>
          <w:u w:val="single"/>
        </w:rPr>
        <w:t xml:space="preserve">          </w:t>
      </w:r>
      <w:r>
        <w:rPr>
          <w:rFonts w:hint="eastAsia" w:ascii="宋体" w:hAnsi="宋体" w:eastAsia="宋体" w:cs="宋体"/>
          <w:sz w:val="21"/>
        </w:rPr>
        <w:t xml:space="preserve"> 品牌：</w:t>
      </w:r>
      <w:r>
        <w:rPr>
          <w:rFonts w:hint="eastAsia" w:ascii="宋体" w:hAnsi="宋体" w:eastAsia="宋体" w:cs="宋体"/>
          <w:sz w:val="21"/>
          <w:u w:val="single"/>
        </w:rPr>
        <w:t xml:space="preserve">        </w:t>
      </w:r>
      <w:r>
        <w:rPr>
          <w:rFonts w:hint="eastAsia" w:ascii="宋体" w:hAnsi="宋体" w:eastAsia="宋体" w:cs="宋体"/>
          <w:sz w:val="21"/>
        </w:rPr>
        <w:t xml:space="preserve"> 型号：</w:t>
      </w:r>
      <w:r>
        <w:rPr>
          <w:rFonts w:hint="eastAsia" w:ascii="宋体" w:hAnsi="宋体" w:eastAsia="宋体" w:cs="宋体"/>
          <w:sz w:val="21"/>
          <w:u w:val="single"/>
        </w:rPr>
        <w:t xml:space="preserve">       </w:t>
      </w:r>
    </w:p>
    <w:p w14:paraId="344BF746">
      <w:pPr>
        <w:pageBreakBefore w:val="0"/>
        <w:widowControl/>
        <w:spacing w:line="420" w:lineRule="exact"/>
        <w:jc w:val="left"/>
        <w:rPr>
          <w:rFonts w:ascii="宋体" w:hAnsi="宋体" w:cs="宋体"/>
          <w:sz w:val="24"/>
        </w:rPr>
      </w:pPr>
      <w:r>
        <w:rPr>
          <w:rFonts w:hint="eastAsia" w:ascii="宋体" w:hAnsi="宋体" w:cs="宋体"/>
          <w:sz w:val="24"/>
        </w:rPr>
        <w:t xml:space="preserve">   （注：关键部件是指财政部会同有关部门发布的政府采购需求标准规定的需要通过国家有关部门指定的测评机构开展的安全可靠测评的软硬件，如CPU芯片、操作系统、数据库等。）</w:t>
      </w:r>
    </w:p>
    <w:p w14:paraId="249C93B8">
      <w:pPr>
        <w:pageBreakBefore w:val="0"/>
        <w:widowControl/>
        <w:spacing w:line="420" w:lineRule="exact"/>
        <w:jc w:val="left"/>
        <w:rPr>
          <w:rFonts w:ascii="宋体" w:hAnsi="宋体" w:cs="宋体"/>
          <w:sz w:val="24"/>
        </w:rPr>
      </w:pPr>
      <w:r>
        <w:rPr>
          <w:rFonts w:hint="eastAsia" w:ascii="宋体" w:hAnsi="宋体" w:cs="宋体"/>
          <w:sz w:val="24"/>
        </w:rPr>
        <w:t>②涉及车辆采购，请填写是否属于新能源汽车：</w:t>
      </w:r>
    </w:p>
    <w:p w14:paraId="73780ACF">
      <w:pPr>
        <w:pageBreakBefore w:val="0"/>
        <w:widowControl/>
        <w:spacing w:line="420" w:lineRule="exact"/>
        <w:jc w:val="left"/>
        <w:rPr>
          <w:rFonts w:ascii="宋体" w:hAnsi="宋体" w:cs="宋体"/>
          <w:sz w:val="24"/>
        </w:rPr>
      </w:pPr>
      <w:r>
        <w:rPr>
          <w:rFonts w:ascii="Wingdings" w:hAnsi="Wingdings" w:eastAsia="Wingdings" w:cs="Wingdings"/>
          <w:sz w:val="24"/>
        </w:rPr>
        <w:t></w:t>
      </w:r>
      <w:r>
        <w:rPr>
          <w:rFonts w:hint="eastAsia" w:ascii="宋体" w:hAnsi="宋体" w:cs="宋体"/>
          <w:sz w:val="24"/>
        </w:rPr>
        <w:t>是，《政府采购品目分类目录》底级品目名称： 数量： 金额：</w:t>
      </w:r>
    </w:p>
    <w:p w14:paraId="1E38FEDA">
      <w:pPr>
        <w:pageBreakBefore w:val="0"/>
        <w:widowControl/>
        <w:spacing w:line="420" w:lineRule="exact"/>
        <w:jc w:val="left"/>
        <w:rPr>
          <w:rFonts w:ascii="宋体" w:hAnsi="宋体" w:cs="宋体"/>
          <w:sz w:val="24"/>
        </w:rPr>
      </w:pPr>
      <w:r>
        <w:rPr>
          <w:rFonts w:ascii="Wingdings" w:hAnsi="Wingdings" w:eastAsia="Wingdings" w:cs="Wingdings"/>
          <w:sz w:val="24"/>
        </w:rPr>
        <w:t></w:t>
      </w:r>
      <w:r>
        <w:rPr>
          <w:rFonts w:hint="eastAsia" w:ascii="宋体" w:hAnsi="宋体" w:cs="宋体"/>
          <w:sz w:val="24"/>
        </w:rPr>
        <w:t>否</w:t>
      </w:r>
    </w:p>
    <w:p w14:paraId="02E833ED">
      <w:pPr>
        <w:pageBreakBefore w:val="0"/>
        <w:widowControl/>
        <w:spacing w:line="420" w:lineRule="exact"/>
        <w:jc w:val="left"/>
        <w:rPr>
          <w:rFonts w:ascii="宋体" w:hAnsi="宋体" w:cs="宋体"/>
          <w:sz w:val="24"/>
        </w:rPr>
      </w:pPr>
      <w:r>
        <w:rPr>
          <w:rFonts w:hint="eastAsia" w:ascii="宋体" w:hAnsi="宋体" w:cs="宋体"/>
          <w:sz w:val="24"/>
        </w:rPr>
        <w:t xml:space="preserve">    （</w:t>
      </w:r>
      <w:r>
        <w:rPr>
          <w:rFonts w:ascii="宋体" w:hAnsi="宋体" w:cs="宋体"/>
          <w:sz w:val="24"/>
        </w:rPr>
        <w:t>4</w:t>
      </w:r>
      <w:r>
        <w:rPr>
          <w:rFonts w:hint="eastAsia" w:ascii="宋体" w:hAnsi="宋体" w:cs="宋体"/>
          <w:sz w:val="24"/>
        </w:rPr>
        <w:t>）政府采购组织形式：</w:t>
      </w:r>
      <w:r>
        <w:rPr>
          <w:rFonts w:ascii="Wingdings" w:hAnsi="Wingdings" w:eastAsia="Wingdings" w:cs="Wingdings"/>
          <w:sz w:val="24"/>
        </w:rPr>
        <w:t></w:t>
      </w:r>
      <w:r>
        <w:rPr>
          <w:rFonts w:hint="eastAsia" w:ascii="宋体" w:hAnsi="宋体" w:cs="宋体"/>
          <w:sz w:val="24"/>
        </w:rPr>
        <w:t>政府集中采购</w:t>
      </w:r>
      <w:r>
        <w:rPr>
          <w:rFonts w:ascii="Wingdings" w:hAnsi="Wingdings" w:eastAsia="Wingdings" w:cs="Wingdings"/>
          <w:sz w:val="24"/>
        </w:rPr>
        <w:t></w:t>
      </w:r>
      <w:r>
        <w:rPr>
          <w:rFonts w:hint="eastAsia" w:ascii="宋体" w:hAnsi="宋体" w:cs="宋体"/>
          <w:sz w:val="24"/>
        </w:rPr>
        <w:t xml:space="preserve">部门集中采购  </w:t>
      </w:r>
      <w:r>
        <w:rPr>
          <w:rFonts w:ascii="Wingdings" w:hAnsi="Wingdings" w:eastAsia="Wingdings" w:cs="Wingdings"/>
          <w:sz w:val="24"/>
        </w:rPr>
        <w:t></w:t>
      </w:r>
      <w:r>
        <w:rPr>
          <w:rFonts w:hint="eastAsia" w:ascii="宋体" w:hAnsi="宋体" w:cs="宋体"/>
          <w:sz w:val="24"/>
        </w:rPr>
        <w:t>分散采购</w:t>
      </w:r>
    </w:p>
    <w:p w14:paraId="142CF154">
      <w:pPr>
        <w:pageBreakBefore w:val="0"/>
        <w:widowControl/>
        <w:spacing w:line="420" w:lineRule="exact"/>
        <w:ind w:firstLine="420"/>
        <w:jc w:val="left"/>
        <w:rPr>
          <w:rFonts w:ascii="宋体" w:hAnsi="宋体" w:cs="宋体"/>
          <w:sz w:val="24"/>
        </w:rPr>
      </w:pPr>
      <w:r>
        <w:rPr>
          <w:rFonts w:hint="eastAsia" w:ascii="宋体" w:hAnsi="宋体" w:cs="宋体"/>
          <w:sz w:val="24"/>
        </w:rPr>
        <w:t>（</w:t>
      </w:r>
      <w:r>
        <w:rPr>
          <w:rFonts w:ascii="宋体" w:hAnsi="宋体" w:cs="宋体"/>
          <w:sz w:val="24"/>
        </w:rPr>
        <w:t>5</w:t>
      </w:r>
      <w:r>
        <w:rPr>
          <w:rFonts w:hint="eastAsia" w:ascii="宋体" w:hAnsi="宋体" w:cs="宋体"/>
          <w:sz w:val="24"/>
        </w:rPr>
        <w:t>）政府采购方式：</w:t>
      </w:r>
      <w:r>
        <w:rPr>
          <w:rFonts w:ascii="Wingdings" w:hAnsi="Wingdings" w:eastAsia="Wingdings" w:cs="Wingdings"/>
          <w:sz w:val="24"/>
        </w:rPr>
        <w:t></w:t>
      </w:r>
      <w:r>
        <w:rPr>
          <w:rFonts w:hint="eastAsia" w:ascii="宋体" w:hAnsi="宋体" w:cs="宋体"/>
          <w:sz w:val="24"/>
        </w:rPr>
        <w:t>公开招标</w:t>
      </w:r>
      <w:r>
        <w:rPr>
          <w:rFonts w:ascii="Wingdings" w:hAnsi="Wingdings" w:eastAsia="Wingdings" w:cs="Wingdings"/>
          <w:sz w:val="24"/>
        </w:rPr>
        <w:t></w:t>
      </w:r>
      <w:r>
        <w:rPr>
          <w:rFonts w:hint="eastAsia" w:ascii="宋体" w:hAnsi="宋体" w:cs="宋体"/>
          <w:sz w:val="24"/>
        </w:rPr>
        <w:t>邀请招标</w:t>
      </w:r>
      <w:r>
        <w:rPr>
          <w:rFonts w:ascii="Wingdings" w:hAnsi="Wingdings" w:eastAsia="Wingdings" w:cs="Wingdings"/>
          <w:sz w:val="24"/>
        </w:rPr>
        <w:t></w:t>
      </w:r>
      <w:r>
        <w:rPr>
          <w:rFonts w:hint="eastAsia" w:ascii="宋体" w:hAnsi="宋体" w:cs="宋体"/>
          <w:sz w:val="24"/>
        </w:rPr>
        <w:t>竞争性谈判</w:t>
      </w:r>
      <w:r>
        <w:rPr>
          <w:rFonts w:ascii="Wingdings" w:hAnsi="Wingdings" w:eastAsia="Wingdings" w:cs="Wingdings"/>
          <w:sz w:val="24"/>
        </w:rPr>
        <w:t></w:t>
      </w:r>
      <w:r>
        <w:rPr>
          <w:rFonts w:hint="eastAsia" w:ascii="宋体" w:hAnsi="宋体" w:cs="宋体"/>
          <w:sz w:val="24"/>
        </w:rPr>
        <w:t>竞争性磋商</w:t>
      </w:r>
    </w:p>
    <w:p w14:paraId="15CB77AE">
      <w:pPr>
        <w:pageBreakBefore w:val="0"/>
        <w:widowControl/>
        <w:spacing w:line="420" w:lineRule="exact"/>
        <w:ind w:firstLine="420"/>
        <w:jc w:val="left"/>
        <w:rPr>
          <w:rFonts w:ascii="宋体" w:hAnsi="宋体" w:cs="宋体"/>
          <w:sz w:val="24"/>
          <w:u w:val="single"/>
        </w:rPr>
      </w:pPr>
      <w:r>
        <w:rPr>
          <w:rFonts w:ascii="Wingdings" w:hAnsi="Wingdings" w:eastAsia="Wingdings" w:cs="Wingdings"/>
          <w:sz w:val="24"/>
        </w:rPr>
        <w:t></w:t>
      </w:r>
      <w:r>
        <w:rPr>
          <w:rFonts w:hint="eastAsia" w:ascii="宋体" w:hAnsi="宋体" w:cs="宋体"/>
          <w:sz w:val="24"/>
        </w:rPr>
        <w:t>询价</w:t>
      </w:r>
      <w:r>
        <w:rPr>
          <w:rFonts w:ascii="Wingdings" w:hAnsi="Wingdings" w:eastAsia="Wingdings" w:cs="Wingdings"/>
          <w:sz w:val="24"/>
        </w:rPr>
        <w:t></w:t>
      </w:r>
      <w:r>
        <w:rPr>
          <w:rFonts w:hint="eastAsia" w:ascii="宋体" w:hAnsi="宋体" w:cs="宋体"/>
          <w:sz w:val="24"/>
        </w:rPr>
        <w:t>单一来源</w:t>
      </w:r>
      <w:r>
        <w:rPr>
          <w:rFonts w:ascii="Wingdings" w:hAnsi="Wingdings" w:eastAsia="Wingdings" w:cs="Wingdings"/>
          <w:sz w:val="24"/>
        </w:rPr>
        <w:t></w:t>
      </w:r>
      <w:r>
        <w:rPr>
          <w:rFonts w:hint="eastAsia" w:ascii="宋体" w:hAnsi="宋体" w:cs="宋体"/>
          <w:sz w:val="24"/>
        </w:rPr>
        <w:t>框架协议</w:t>
      </w:r>
      <w:r>
        <w:rPr>
          <w:rFonts w:ascii="Wingdings" w:hAnsi="Wingdings" w:eastAsia="Wingdings" w:cs="Wingdings"/>
          <w:sz w:val="24"/>
        </w:rPr>
        <w:t></w:t>
      </w:r>
      <w:r>
        <w:rPr>
          <w:rFonts w:hint="eastAsia" w:ascii="宋体" w:hAnsi="宋体" w:cs="宋体"/>
          <w:sz w:val="24"/>
        </w:rPr>
        <w:t>其他：</w:t>
      </w:r>
    </w:p>
    <w:p w14:paraId="28BD3EAA">
      <w:pPr>
        <w:pageBreakBefore w:val="0"/>
        <w:widowControl/>
        <w:spacing w:line="420" w:lineRule="exact"/>
        <w:ind w:firstLine="420"/>
        <w:jc w:val="left"/>
        <w:rPr>
          <w:rFonts w:ascii="宋体" w:hAnsi="宋体" w:cs="宋体"/>
          <w:sz w:val="24"/>
        </w:rPr>
      </w:pPr>
      <w:r>
        <w:rPr>
          <w:rFonts w:hint="eastAsia" w:ascii="宋体" w:hAnsi="宋体" w:cs="宋体"/>
          <w:sz w:val="24"/>
        </w:rPr>
        <w:t>（注：在框架协议采购的第二阶段，可选择使用该合同文本）</w:t>
      </w:r>
    </w:p>
    <w:p w14:paraId="1677C11E">
      <w:pPr>
        <w:pageBreakBefore w:val="0"/>
        <w:widowControl/>
        <w:spacing w:line="420" w:lineRule="exact"/>
        <w:ind w:firstLine="240"/>
        <w:jc w:val="left"/>
        <w:rPr>
          <w:rFonts w:ascii="宋体" w:hAnsi="宋体"/>
          <w:sz w:val="24"/>
        </w:rPr>
      </w:pPr>
      <w:r>
        <w:rPr>
          <w:rFonts w:hint="eastAsia" w:ascii="宋体" w:hAnsi="宋体" w:eastAsia="华文楷体" w:cs="华文楷体"/>
          <w:sz w:val="24"/>
        </w:rPr>
        <w:t xml:space="preserve"> （</w:t>
      </w:r>
      <w:r>
        <w:rPr>
          <w:rFonts w:ascii="宋体" w:hAnsi="宋体" w:eastAsia="华文楷体" w:cs="华文楷体"/>
          <w:sz w:val="24"/>
        </w:rPr>
        <w:t>6</w:t>
      </w:r>
      <w:r>
        <w:rPr>
          <w:rFonts w:hint="eastAsia" w:ascii="宋体" w:hAnsi="宋体" w:eastAsia="华文楷体" w:cs="华文楷体"/>
          <w:sz w:val="24"/>
        </w:rPr>
        <w:t>）</w:t>
      </w:r>
      <w:r>
        <w:rPr>
          <w:rFonts w:hint="eastAsia" w:ascii="宋体" w:hAnsi="宋体"/>
          <w:sz w:val="24"/>
        </w:rPr>
        <w:t>中标（成交）采购标的制造商是否为中小企业：</w:t>
      </w:r>
      <w:r>
        <w:rPr>
          <w:rFonts w:ascii="Wingdings" w:hAnsi="Wingdings" w:eastAsia="Wingdings" w:cs="Wingdings"/>
          <w:sz w:val="24"/>
        </w:rPr>
        <w:t></w:t>
      </w:r>
      <w:r>
        <w:rPr>
          <w:rFonts w:hint="eastAsia" w:ascii="宋体" w:hAnsi="宋体"/>
          <w:sz w:val="24"/>
        </w:rPr>
        <w:t xml:space="preserve">是      </w:t>
      </w:r>
      <w:r>
        <w:rPr>
          <w:rFonts w:ascii="Wingdings" w:hAnsi="Wingdings" w:eastAsia="Wingdings" w:cs="Wingdings"/>
          <w:sz w:val="24"/>
        </w:rPr>
        <w:t></w:t>
      </w:r>
      <w:r>
        <w:rPr>
          <w:rFonts w:hint="eastAsia" w:ascii="宋体" w:hAnsi="宋体"/>
          <w:sz w:val="24"/>
        </w:rPr>
        <w:t>否</w:t>
      </w:r>
    </w:p>
    <w:p w14:paraId="4B472FE0">
      <w:pPr>
        <w:pageBreakBefore w:val="0"/>
        <w:spacing w:line="420" w:lineRule="exact"/>
        <w:rPr>
          <w:rFonts w:ascii="宋体" w:hAnsi="宋体"/>
          <w:iCs/>
          <w:sz w:val="24"/>
        </w:rPr>
      </w:pPr>
      <w:r>
        <w:rPr>
          <w:rFonts w:hint="eastAsia" w:ascii="宋体" w:hAnsi="宋体"/>
          <w:sz w:val="24"/>
        </w:rPr>
        <w:t xml:space="preserve">         本合同是否为专门面向中小企业的采购合同（中小企业预留合同）：</w:t>
      </w:r>
      <w:r>
        <w:rPr>
          <w:rFonts w:ascii="Wingdings" w:hAnsi="Wingdings" w:eastAsia="Wingdings" w:cs="Wingdings"/>
          <w:iCs/>
          <w:sz w:val="24"/>
        </w:rPr>
        <w:t></w:t>
      </w:r>
      <w:r>
        <w:rPr>
          <w:rFonts w:hint="eastAsia" w:ascii="宋体" w:hAnsi="宋体"/>
          <w:iCs/>
          <w:sz w:val="24"/>
        </w:rPr>
        <w:t xml:space="preserve">是 </w:t>
      </w:r>
      <w:r>
        <w:rPr>
          <w:rFonts w:ascii="Wingdings" w:hAnsi="Wingdings" w:eastAsia="Wingdings" w:cs="Wingdings"/>
          <w:iCs/>
          <w:sz w:val="24"/>
        </w:rPr>
        <w:t></w:t>
      </w:r>
      <w:r>
        <w:rPr>
          <w:rFonts w:hint="eastAsia" w:ascii="宋体" w:hAnsi="宋体"/>
          <w:iCs/>
          <w:sz w:val="24"/>
        </w:rPr>
        <w:t>否</w:t>
      </w:r>
    </w:p>
    <w:p w14:paraId="70F3006C">
      <w:pPr>
        <w:pageBreakBefore w:val="0"/>
        <w:spacing w:line="420" w:lineRule="exact"/>
        <w:rPr>
          <w:rFonts w:ascii="宋体" w:hAnsi="宋体"/>
          <w:iCs/>
          <w:sz w:val="24"/>
        </w:rPr>
      </w:pPr>
      <w:r>
        <w:rPr>
          <w:rFonts w:hint="eastAsia"/>
          <w:sz w:val="24"/>
        </w:rPr>
        <w:t xml:space="preserve">         若本项目不专门面向中小企业采购，是否给予小微企业评审优惠：</w:t>
      </w:r>
      <w:r>
        <w:rPr>
          <w:rFonts w:ascii="Wingdings" w:hAnsi="Wingdings" w:eastAsia="Wingdings" w:cs="Wingdings"/>
          <w:iCs/>
          <w:sz w:val="24"/>
        </w:rPr>
        <w:t></w:t>
      </w:r>
      <w:r>
        <w:rPr>
          <w:rFonts w:hint="eastAsia" w:ascii="宋体" w:hAnsi="宋体"/>
          <w:iCs/>
          <w:sz w:val="24"/>
        </w:rPr>
        <w:t xml:space="preserve">是   </w:t>
      </w:r>
      <w:r>
        <w:rPr>
          <w:rFonts w:ascii="Wingdings" w:hAnsi="Wingdings" w:eastAsia="Wingdings" w:cs="Wingdings"/>
          <w:iCs/>
          <w:sz w:val="24"/>
        </w:rPr>
        <w:t></w:t>
      </w:r>
      <w:r>
        <w:rPr>
          <w:rFonts w:hint="eastAsia" w:ascii="宋体" w:hAnsi="宋体"/>
          <w:iCs/>
          <w:sz w:val="24"/>
        </w:rPr>
        <w:t>否</w:t>
      </w:r>
    </w:p>
    <w:p w14:paraId="6283AA52">
      <w:pPr>
        <w:pageBreakBefore w:val="0"/>
        <w:spacing w:line="420" w:lineRule="exact"/>
        <w:rPr>
          <w:rFonts w:ascii="宋体" w:hAnsi="宋体"/>
          <w:iCs/>
          <w:sz w:val="24"/>
        </w:rPr>
      </w:pPr>
      <w:r>
        <w:rPr>
          <w:rFonts w:hint="eastAsia"/>
          <w:sz w:val="24"/>
        </w:rPr>
        <w:t xml:space="preserve">         中标（成交）采购标的制造商是否为残疾人福利性单位：</w:t>
      </w:r>
      <w:r>
        <w:rPr>
          <w:rFonts w:ascii="Wingdings" w:hAnsi="Wingdings" w:eastAsia="Wingdings" w:cs="Wingdings"/>
          <w:iCs/>
          <w:sz w:val="24"/>
        </w:rPr>
        <w:t></w:t>
      </w:r>
      <w:r>
        <w:rPr>
          <w:rFonts w:hint="eastAsia" w:ascii="宋体" w:hAnsi="宋体"/>
          <w:iCs/>
          <w:sz w:val="24"/>
        </w:rPr>
        <w:t xml:space="preserve">是   </w:t>
      </w:r>
      <w:r>
        <w:rPr>
          <w:rFonts w:ascii="Wingdings" w:hAnsi="Wingdings" w:eastAsia="Wingdings" w:cs="Wingdings"/>
          <w:iCs/>
          <w:sz w:val="24"/>
        </w:rPr>
        <w:t></w:t>
      </w:r>
      <w:r>
        <w:rPr>
          <w:rFonts w:hint="eastAsia" w:ascii="宋体" w:hAnsi="宋体"/>
          <w:iCs/>
          <w:sz w:val="24"/>
        </w:rPr>
        <w:t>否</w:t>
      </w:r>
    </w:p>
    <w:p w14:paraId="473D1720">
      <w:pPr>
        <w:pageBreakBefore w:val="0"/>
        <w:spacing w:line="420" w:lineRule="exact"/>
        <w:rPr>
          <w:sz w:val="24"/>
        </w:rPr>
      </w:pPr>
      <w:r>
        <w:rPr>
          <w:rFonts w:hint="eastAsia"/>
          <w:sz w:val="24"/>
        </w:rPr>
        <w:t xml:space="preserve">         中标（成交）采购标的制造商是否为监狱企业：</w:t>
      </w:r>
      <w:r>
        <w:rPr>
          <w:rFonts w:ascii="Wingdings" w:hAnsi="Wingdings" w:eastAsia="Wingdings" w:cs="Wingdings"/>
          <w:iCs/>
          <w:sz w:val="24"/>
        </w:rPr>
        <w:t></w:t>
      </w:r>
      <w:r>
        <w:rPr>
          <w:rFonts w:hint="eastAsia" w:ascii="宋体" w:hAnsi="宋体"/>
          <w:iCs/>
          <w:sz w:val="24"/>
        </w:rPr>
        <w:t xml:space="preserve">是       </w:t>
      </w:r>
      <w:r>
        <w:rPr>
          <w:rFonts w:ascii="Wingdings" w:hAnsi="Wingdings" w:eastAsia="Wingdings" w:cs="Wingdings"/>
          <w:iCs/>
          <w:sz w:val="24"/>
        </w:rPr>
        <w:t></w:t>
      </w:r>
      <w:r>
        <w:rPr>
          <w:rFonts w:hint="eastAsia" w:ascii="宋体" w:hAnsi="宋体"/>
          <w:iCs/>
          <w:sz w:val="24"/>
        </w:rPr>
        <w:t>否</w:t>
      </w:r>
    </w:p>
    <w:p w14:paraId="6AA38495">
      <w:pPr>
        <w:pageBreakBefore w:val="0"/>
        <w:spacing w:line="420" w:lineRule="exact"/>
        <w:ind w:firstLine="480"/>
        <w:rPr>
          <w:rFonts w:ascii="宋体" w:hAnsi="宋体"/>
          <w:sz w:val="24"/>
        </w:rPr>
      </w:pPr>
      <w:r>
        <w:rPr>
          <w:rFonts w:hint="eastAsia" w:ascii="宋体" w:hAnsi="宋体"/>
          <w:sz w:val="24"/>
        </w:rPr>
        <w:t>（</w:t>
      </w:r>
      <w:r>
        <w:rPr>
          <w:rFonts w:ascii="宋体" w:hAnsi="宋体"/>
          <w:sz w:val="24"/>
        </w:rPr>
        <w:t>7</w:t>
      </w:r>
      <w:r>
        <w:rPr>
          <w:rFonts w:hint="eastAsia" w:ascii="宋体" w:hAnsi="宋体"/>
          <w:sz w:val="24"/>
        </w:rPr>
        <w:t>）合同是否分包：</w:t>
      </w:r>
      <w:r>
        <w:rPr>
          <w:rFonts w:ascii="Wingdings" w:hAnsi="Wingdings" w:eastAsia="Wingdings" w:cs="Wingdings"/>
          <w:iCs/>
          <w:sz w:val="24"/>
        </w:rPr>
        <w:t></w:t>
      </w:r>
      <w:r>
        <w:rPr>
          <w:rFonts w:hint="eastAsia" w:ascii="宋体" w:hAnsi="宋体"/>
          <w:iCs/>
          <w:sz w:val="24"/>
        </w:rPr>
        <w:t xml:space="preserve">是       </w:t>
      </w:r>
      <w:r>
        <w:rPr>
          <w:rFonts w:ascii="Wingdings" w:hAnsi="Wingdings" w:eastAsia="Wingdings" w:cs="Wingdings"/>
          <w:iCs/>
          <w:sz w:val="24"/>
        </w:rPr>
        <w:t></w:t>
      </w:r>
      <w:r>
        <w:rPr>
          <w:rFonts w:hint="eastAsia" w:ascii="宋体" w:hAnsi="宋体"/>
          <w:iCs/>
          <w:sz w:val="24"/>
        </w:rPr>
        <w:t>否</w:t>
      </w:r>
    </w:p>
    <w:p w14:paraId="0BBF4ABB">
      <w:pPr>
        <w:pageBreakBefore w:val="0"/>
        <w:spacing w:line="420" w:lineRule="exact"/>
        <w:ind w:firstLine="960"/>
        <w:rPr>
          <w:rFonts w:ascii="宋体" w:hAnsi="宋体"/>
          <w:sz w:val="24"/>
          <w:u w:val="single"/>
        </w:rPr>
      </w:pPr>
      <w:r>
        <w:rPr>
          <w:rFonts w:hint="eastAsia" w:ascii="宋体" w:hAnsi="宋体"/>
          <w:sz w:val="24"/>
        </w:rPr>
        <w:t>分包主要内容：</w:t>
      </w:r>
    </w:p>
    <w:p w14:paraId="1D564814">
      <w:pPr>
        <w:pageBreakBefore w:val="0"/>
        <w:spacing w:line="420" w:lineRule="exact"/>
        <w:ind w:firstLine="960"/>
        <w:rPr>
          <w:rFonts w:ascii="宋体" w:hAnsi="宋体"/>
          <w:sz w:val="24"/>
        </w:rPr>
      </w:pPr>
      <w:r>
        <w:rPr>
          <w:rFonts w:hint="eastAsia" w:ascii="宋体" w:hAnsi="宋体"/>
          <w:sz w:val="24"/>
        </w:rPr>
        <w:t>分包供应商/制造商名称（如供应商和制造商不同，请分别填写）：</w:t>
      </w:r>
    </w:p>
    <w:p w14:paraId="0E526626">
      <w:pPr>
        <w:pageBreakBefore w:val="0"/>
        <w:spacing w:line="420" w:lineRule="exact"/>
        <w:ind w:firstLine="960"/>
        <w:rPr>
          <w:rFonts w:ascii="宋体" w:hAnsi="宋体"/>
          <w:sz w:val="24"/>
        </w:rPr>
      </w:pPr>
      <w:r>
        <w:rPr>
          <w:rFonts w:hint="eastAsia" w:ascii="宋体" w:hAnsi="宋体"/>
          <w:sz w:val="24"/>
        </w:rPr>
        <w:t>分包供应商/制造商类型（如果供应商和制造商不同，只填写制造商类型）：</w:t>
      </w:r>
    </w:p>
    <w:p w14:paraId="06346C44">
      <w:pPr>
        <w:pageBreakBefore w:val="0"/>
        <w:spacing w:line="420" w:lineRule="exact"/>
        <w:ind w:firstLine="960"/>
        <w:rPr>
          <w:rFonts w:ascii="宋体" w:hAnsi="宋体"/>
          <w:iCs/>
          <w:sz w:val="24"/>
        </w:rPr>
      </w:pPr>
      <w:r>
        <w:rPr>
          <w:rFonts w:ascii="Wingdings" w:hAnsi="Wingdings" w:eastAsia="Wingdings" w:cs="Wingdings"/>
          <w:iCs/>
          <w:sz w:val="24"/>
        </w:rPr>
        <w:t></w:t>
      </w:r>
      <w:r>
        <w:rPr>
          <w:rFonts w:hint="eastAsia" w:ascii="宋体" w:hAnsi="宋体"/>
          <w:iCs/>
          <w:sz w:val="24"/>
        </w:rPr>
        <w:t xml:space="preserve">大型企业  </w:t>
      </w:r>
      <w:r>
        <w:rPr>
          <w:rFonts w:ascii="Wingdings" w:hAnsi="Wingdings" w:eastAsia="Wingdings" w:cs="Wingdings"/>
          <w:iCs/>
          <w:sz w:val="24"/>
        </w:rPr>
        <w:t></w:t>
      </w:r>
      <w:r>
        <w:rPr>
          <w:rFonts w:hint="eastAsia" w:ascii="宋体" w:hAnsi="宋体"/>
          <w:iCs/>
          <w:sz w:val="24"/>
        </w:rPr>
        <w:t xml:space="preserve">中型企业  </w:t>
      </w:r>
      <w:r>
        <w:rPr>
          <w:rFonts w:ascii="Wingdings" w:hAnsi="Wingdings" w:eastAsia="Wingdings" w:cs="Wingdings"/>
          <w:iCs/>
          <w:sz w:val="24"/>
        </w:rPr>
        <w:t></w:t>
      </w:r>
      <w:r>
        <w:rPr>
          <w:rFonts w:hint="eastAsia" w:ascii="宋体" w:hAnsi="宋体"/>
          <w:iCs/>
          <w:sz w:val="24"/>
        </w:rPr>
        <w:t>小微型企业</w:t>
      </w:r>
    </w:p>
    <w:p w14:paraId="48AEEF0B">
      <w:pPr>
        <w:pageBreakBefore w:val="0"/>
        <w:spacing w:line="420" w:lineRule="exact"/>
        <w:ind w:firstLine="960"/>
        <w:rPr>
          <w:rFonts w:eastAsia="华文楷体"/>
          <w:sz w:val="24"/>
        </w:rPr>
      </w:pPr>
      <w:r>
        <w:rPr>
          <w:rFonts w:ascii="Wingdings" w:hAnsi="Wingdings" w:eastAsia="Wingdings" w:cs="Wingdings"/>
          <w:iCs/>
          <w:sz w:val="24"/>
        </w:rPr>
        <w:t></w:t>
      </w:r>
      <w:r>
        <w:rPr>
          <w:rFonts w:hint="eastAsia" w:ascii="宋体" w:hAnsi="宋体"/>
          <w:iCs/>
          <w:sz w:val="24"/>
        </w:rPr>
        <w:t>残疾人福利性单位</w:t>
      </w:r>
      <w:r>
        <w:rPr>
          <w:rFonts w:ascii="Wingdings" w:hAnsi="Wingdings" w:eastAsia="Wingdings" w:cs="Wingdings"/>
          <w:iCs/>
          <w:sz w:val="24"/>
        </w:rPr>
        <w:t></w:t>
      </w:r>
      <w:r>
        <w:rPr>
          <w:rFonts w:hint="eastAsia" w:ascii="宋体" w:hAnsi="宋体"/>
          <w:iCs/>
          <w:sz w:val="24"/>
        </w:rPr>
        <w:t>监狱企业</w:t>
      </w:r>
      <w:r>
        <w:rPr>
          <w:rFonts w:ascii="Wingdings" w:hAnsi="Wingdings" w:eastAsia="Wingdings" w:cs="Wingdings"/>
          <w:iCs/>
          <w:sz w:val="24"/>
        </w:rPr>
        <w:t></w:t>
      </w:r>
      <w:r>
        <w:rPr>
          <w:rFonts w:hint="eastAsia" w:ascii="宋体" w:hAnsi="宋体"/>
          <w:iCs/>
          <w:sz w:val="24"/>
        </w:rPr>
        <w:t>其他</w:t>
      </w:r>
    </w:p>
    <w:p w14:paraId="144C79AB">
      <w:pPr>
        <w:pageBreakBefore w:val="0"/>
        <w:spacing w:line="420" w:lineRule="exact"/>
        <w:ind w:firstLine="480"/>
        <w:rPr>
          <w:rFonts w:ascii="宋体" w:hAnsi="宋体" w:cs="宋体"/>
          <w:iCs/>
          <w:sz w:val="24"/>
        </w:rPr>
      </w:pPr>
      <w:r>
        <w:rPr>
          <w:rFonts w:hint="eastAsia" w:ascii="宋体" w:hAnsi="宋体" w:cs="宋体"/>
          <w:sz w:val="24"/>
        </w:rPr>
        <w:t>（</w:t>
      </w:r>
      <w:r>
        <w:rPr>
          <w:rFonts w:ascii="宋体" w:hAnsi="宋体" w:cs="宋体"/>
          <w:sz w:val="24"/>
        </w:rPr>
        <w:t>8</w:t>
      </w:r>
      <w:r>
        <w:rPr>
          <w:rFonts w:hint="eastAsia" w:ascii="宋体" w:hAnsi="宋体" w:cs="宋体"/>
          <w:sz w:val="24"/>
        </w:rPr>
        <w:t>）中标（成交）供应商是否为外商投资企业：</w:t>
      </w:r>
      <w:r>
        <w:rPr>
          <w:rFonts w:ascii="Wingdings" w:hAnsi="Wingdings" w:eastAsia="Wingdings" w:cs="Wingdings"/>
          <w:iCs/>
          <w:sz w:val="24"/>
        </w:rPr>
        <w:t></w:t>
      </w:r>
      <w:r>
        <w:rPr>
          <w:rFonts w:hint="eastAsia" w:ascii="宋体" w:hAnsi="宋体" w:cs="宋体"/>
          <w:iCs/>
          <w:sz w:val="24"/>
        </w:rPr>
        <w:t xml:space="preserve">是       </w:t>
      </w:r>
      <w:r>
        <w:rPr>
          <w:rFonts w:ascii="Wingdings" w:hAnsi="Wingdings" w:eastAsia="Wingdings" w:cs="Wingdings"/>
          <w:iCs/>
          <w:sz w:val="24"/>
        </w:rPr>
        <w:t></w:t>
      </w:r>
      <w:r>
        <w:rPr>
          <w:rFonts w:hint="eastAsia" w:ascii="宋体" w:hAnsi="宋体" w:cs="宋体"/>
          <w:iCs/>
          <w:sz w:val="24"/>
        </w:rPr>
        <w:t>否</w:t>
      </w:r>
    </w:p>
    <w:p w14:paraId="602D841B">
      <w:pPr>
        <w:pageBreakBefore w:val="0"/>
        <w:widowControl/>
        <w:tabs>
          <w:tab w:val="left" w:pos="1340"/>
        </w:tabs>
        <w:spacing w:line="420" w:lineRule="exact"/>
        <w:ind w:firstLine="480"/>
        <w:jc w:val="left"/>
        <w:rPr>
          <w:rFonts w:ascii="宋体" w:hAnsi="宋体" w:cs="宋体"/>
          <w:sz w:val="24"/>
          <w:u w:val="single"/>
        </w:rPr>
      </w:pPr>
      <w:r>
        <w:rPr>
          <w:rFonts w:hint="eastAsia" w:ascii="宋体" w:hAnsi="宋体" w:cs="宋体"/>
          <w:sz w:val="24"/>
        </w:rPr>
        <w:t xml:space="preserve">     外商投资企业类型：</w:t>
      </w:r>
      <w:r>
        <w:rPr>
          <w:rFonts w:ascii="Wingdings" w:hAnsi="Wingdings" w:eastAsia="Wingdings" w:cs="Wingdings"/>
          <w:iCs/>
          <w:sz w:val="24"/>
        </w:rPr>
        <w:t></w:t>
      </w:r>
      <w:r>
        <w:rPr>
          <w:rFonts w:hint="eastAsia" w:ascii="宋体" w:hAnsi="宋体" w:cs="宋体"/>
          <w:sz w:val="24"/>
        </w:rPr>
        <w:t xml:space="preserve">全部由外国投资者投资  </w:t>
      </w:r>
      <w:r>
        <w:rPr>
          <w:rFonts w:ascii="Wingdings" w:hAnsi="Wingdings" w:eastAsia="Wingdings" w:cs="Wingdings"/>
          <w:iCs/>
          <w:sz w:val="24"/>
        </w:rPr>
        <w:t></w:t>
      </w:r>
      <w:r>
        <w:rPr>
          <w:rFonts w:hint="eastAsia" w:ascii="宋体" w:hAnsi="宋体" w:cs="宋体"/>
          <w:iCs/>
          <w:sz w:val="24"/>
        </w:rPr>
        <w:t>部分由外国投资者投资</w:t>
      </w:r>
    </w:p>
    <w:p w14:paraId="6AB7CF5B">
      <w:pPr>
        <w:pageBreakBefore w:val="0"/>
        <w:spacing w:line="420" w:lineRule="exact"/>
        <w:ind w:firstLine="480"/>
        <w:rPr>
          <w:rFonts w:ascii="宋体" w:hAnsi="宋体" w:cs="宋体"/>
          <w:sz w:val="24"/>
        </w:rPr>
      </w:pPr>
      <w:r>
        <w:rPr>
          <w:rFonts w:hint="eastAsia" w:ascii="宋体" w:hAnsi="宋体" w:cs="宋体"/>
          <w:sz w:val="24"/>
        </w:rPr>
        <w:t>（</w:t>
      </w:r>
      <w:r>
        <w:rPr>
          <w:rFonts w:ascii="宋体" w:hAnsi="宋体" w:cs="宋体"/>
          <w:sz w:val="24"/>
        </w:rPr>
        <w:t>9</w:t>
      </w:r>
      <w:r>
        <w:rPr>
          <w:rFonts w:hint="eastAsia" w:ascii="宋体" w:hAnsi="宋体" w:cs="宋体"/>
          <w:sz w:val="24"/>
        </w:rPr>
        <w:t>）是否涉及进口产品：</w:t>
      </w:r>
    </w:p>
    <w:p w14:paraId="77F7F1ED">
      <w:pPr>
        <w:pageBreakBefore w:val="0"/>
        <w:spacing w:line="420" w:lineRule="exact"/>
        <w:ind w:firstLine="960"/>
        <w:rPr>
          <w:rFonts w:ascii="宋体" w:hAnsi="宋体" w:cs="宋体"/>
          <w:sz w:val="24"/>
          <w:u w:val="single"/>
        </w:rPr>
      </w:pPr>
      <w:r>
        <w:rPr>
          <w:rFonts w:ascii="Wingdings" w:hAnsi="Wingdings" w:eastAsia="Wingdings" w:cs="Wingdings"/>
          <w:sz w:val="24"/>
        </w:rPr>
        <w:t></w:t>
      </w:r>
      <w:r>
        <w:rPr>
          <w:rFonts w:hint="eastAsia" w:ascii="宋体" w:hAnsi="宋体" w:cs="宋体"/>
          <w:sz w:val="24"/>
        </w:rPr>
        <w:t>是，《政府采购品目分类目录》底级品目名称：金额：</w:t>
      </w:r>
    </w:p>
    <w:p w14:paraId="2D9927FE">
      <w:pPr>
        <w:pageBreakBefore w:val="0"/>
        <w:spacing w:line="420" w:lineRule="exact"/>
        <w:ind w:firstLine="960"/>
        <w:rPr>
          <w:rFonts w:ascii="宋体" w:hAnsi="宋体"/>
          <w:sz w:val="24"/>
        </w:rPr>
      </w:pPr>
      <w:r>
        <w:rPr>
          <w:rFonts w:hint="eastAsia" w:ascii="宋体" w:hAnsi="宋体" w:cs="宋体"/>
          <w:sz w:val="24"/>
        </w:rPr>
        <w:t xml:space="preserve">        国别：品牌： 规格型号：</w:t>
      </w:r>
    </w:p>
    <w:p w14:paraId="4AE77BD9">
      <w:pPr>
        <w:pageBreakBefore w:val="0"/>
        <w:spacing w:line="420" w:lineRule="exact"/>
        <w:ind w:firstLine="960"/>
        <w:rPr>
          <w:rFonts w:ascii="宋体" w:hAnsi="宋体"/>
          <w:sz w:val="24"/>
        </w:rPr>
      </w:pPr>
      <w:r>
        <w:rPr>
          <w:rFonts w:ascii="Wingdings" w:hAnsi="Wingdings" w:eastAsia="Wingdings" w:cs="Wingdings"/>
          <w:sz w:val="24"/>
        </w:rPr>
        <w:t></w:t>
      </w:r>
      <w:r>
        <w:rPr>
          <w:rFonts w:hint="eastAsia" w:ascii="宋体" w:hAnsi="宋体"/>
          <w:sz w:val="24"/>
        </w:rPr>
        <w:t>否</w:t>
      </w:r>
    </w:p>
    <w:p w14:paraId="1EAADEB2">
      <w:pPr>
        <w:pageBreakBefore w:val="0"/>
        <w:tabs>
          <w:tab w:val="left" w:pos="740"/>
        </w:tabs>
        <w:spacing w:line="420" w:lineRule="exact"/>
        <w:rPr>
          <w:rFonts w:ascii="宋体" w:hAnsi="宋体"/>
          <w:sz w:val="24"/>
        </w:rPr>
      </w:pPr>
      <w:r>
        <w:rPr>
          <w:rFonts w:hint="eastAsia" w:ascii="宋体" w:hAnsi="宋体"/>
          <w:sz w:val="24"/>
        </w:rPr>
        <w:t xml:space="preserve">    （1</w:t>
      </w:r>
      <w:r>
        <w:rPr>
          <w:rFonts w:ascii="宋体" w:hAnsi="宋体"/>
          <w:sz w:val="24"/>
        </w:rPr>
        <w:t>0</w:t>
      </w:r>
      <w:r>
        <w:rPr>
          <w:rFonts w:hint="eastAsia" w:ascii="宋体" w:hAnsi="宋体"/>
          <w:sz w:val="24"/>
        </w:rPr>
        <w:t>）是否涉及节能产品：</w:t>
      </w:r>
    </w:p>
    <w:p w14:paraId="3F7CFB7E">
      <w:pPr>
        <w:pageBreakBefore w:val="0"/>
        <w:tabs>
          <w:tab w:val="left" w:pos="740"/>
        </w:tabs>
        <w:spacing w:line="420" w:lineRule="exact"/>
        <w:ind w:firstLine="960"/>
        <w:rPr>
          <w:rFonts w:ascii="宋体" w:hAnsi="宋体"/>
          <w:iCs/>
          <w:sz w:val="24"/>
        </w:rPr>
      </w:pPr>
      <w:r>
        <w:rPr>
          <w:rFonts w:ascii="Wingdings" w:hAnsi="Wingdings" w:eastAsia="Wingdings" w:cs="Wingdings"/>
          <w:sz w:val="24"/>
        </w:rPr>
        <w:t></w:t>
      </w:r>
      <w:r>
        <w:rPr>
          <w:rFonts w:hint="eastAsia" w:ascii="宋体" w:hAnsi="宋体"/>
          <w:sz w:val="24"/>
        </w:rPr>
        <w:t>是，《节能产品政府采购品目清单》的底级品目名称：</w:t>
      </w:r>
    </w:p>
    <w:p w14:paraId="03AD6681">
      <w:pPr>
        <w:pageBreakBefore w:val="0"/>
        <w:tabs>
          <w:tab w:val="left" w:pos="740"/>
        </w:tabs>
        <w:spacing w:line="420" w:lineRule="exact"/>
        <w:ind w:firstLine="960"/>
        <w:rPr>
          <w:rFonts w:ascii="宋体" w:hAnsi="宋体"/>
          <w:sz w:val="24"/>
        </w:rPr>
      </w:pPr>
      <w:r>
        <w:rPr>
          <w:rFonts w:ascii="Wingdings" w:hAnsi="Wingdings" w:eastAsia="Wingdings" w:cs="Wingdings"/>
          <w:sz w:val="24"/>
        </w:rPr>
        <w:t></w:t>
      </w:r>
      <w:r>
        <w:rPr>
          <w:rFonts w:hint="eastAsia" w:ascii="宋体" w:hAnsi="宋体"/>
          <w:sz w:val="24"/>
        </w:rPr>
        <w:t>强制采购</w:t>
      </w:r>
      <w:r>
        <w:rPr>
          <w:rFonts w:ascii="Wingdings" w:hAnsi="Wingdings" w:eastAsia="Wingdings" w:cs="Wingdings"/>
          <w:sz w:val="24"/>
        </w:rPr>
        <w:t></w:t>
      </w:r>
      <w:r>
        <w:rPr>
          <w:rFonts w:hint="eastAsia" w:ascii="宋体" w:hAnsi="宋体"/>
          <w:sz w:val="24"/>
        </w:rPr>
        <w:t>优先采购</w:t>
      </w:r>
    </w:p>
    <w:p w14:paraId="1B25F538">
      <w:pPr>
        <w:pageBreakBefore w:val="0"/>
        <w:tabs>
          <w:tab w:val="left" w:pos="740"/>
        </w:tabs>
        <w:spacing w:line="420" w:lineRule="exact"/>
        <w:ind w:firstLine="960"/>
        <w:rPr>
          <w:rFonts w:ascii="宋体" w:hAnsi="宋体"/>
          <w:sz w:val="24"/>
        </w:rPr>
      </w:pPr>
      <w:r>
        <w:rPr>
          <w:rFonts w:ascii="Wingdings" w:hAnsi="Wingdings" w:eastAsia="Wingdings" w:cs="Wingdings"/>
          <w:sz w:val="24"/>
        </w:rPr>
        <w:t></w:t>
      </w:r>
      <w:r>
        <w:rPr>
          <w:rFonts w:hint="eastAsia" w:ascii="宋体" w:hAnsi="宋体"/>
          <w:sz w:val="24"/>
        </w:rPr>
        <w:t>否</w:t>
      </w:r>
    </w:p>
    <w:p w14:paraId="71A95A11">
      <w:pPr>
        <w:pageBreakBefore w:val="0"/>
        <w:tabs>
          <w:tab w:val="left" w:pos="740"/>
        </w:tabs>
        <w:spacing w:line="420" w:lineRule="exact"/>
        <w:ind w:firstLine="960"/>
        <w:rPr>
          <w:rFonts w:ascii="宋体" w:hAnsi="宋体"/>
          <w:sz w:val="24"/>
        </w:rPr>
      </w:pPr>
      <w:r>
        <w:rPr>
          <w:rFonts w:hint="eastAsia" w:ascii="宋体" w:hAnsi="宋体"/>
          <w:sz w:val="24"/>
        </w:rPr>
        <w:t>是否涉及环境标志产品：</w:t>
      </w:r>
    </w:p>
    <w:p w14:paraId="5330B915">
      <w:pPr>
        <w:pageBreakBefore w:val="0"/>
        <w:tabs>
          <w:tab w:val="left" w:pos="740"/>
        </w:tabs>
        <w:spacing w:line="420" w:lineRule="exact"/>
        <w:ind w:firstLine="960"/>
        <w:rPr>
          <w:rFonts w:ascii="宋体" w:hAnsi="宋体"/>
          <w:sz w:val="24"/>
        </w:rPr>
      </w:pPr>
      <w:r>
        <w:rPr>
          <w:rFonts w:ascii="Wingdings" w:hAnsi="Wingdings" w:eastAsia="Wingdings" w:cs="Wingdings"/>
          <w:sz w:val="24"/>
        </w:rPr>
        <w:t></w:t>
      </w:r>
      <w:r>
        <w:rPr>
          <w:rFonts w:hint="eastAsia" w:ascii="宋体" w:hAnsi="宋体"/>
          <w:sz w:val="24"/>
        </w:rPr>
        <w:t>是，《环境标志产品政府采购品目清单》的底级品目名称：</w:t>
      </w:r>
    </w:p>
    <w:p w14:paraId="44F7C0A3">
      <w:pPr>
        <w:pageBreakBefore w:val="0"/>
        <w:tabs>
          <w:tab w:val="left" w:pos="740"/>
        </w:tabs>
        <w:spacing w:line="420" w:lineRule="exact"/>
        <w:ind w:firstLine="840"/>
        <w:rPr>
          <w:rFonts w:ascii="宋体" w:hAnsi="宋体"/>
          <w:sz w:val="24"/>
        </w:rPr>
      </w:pPr>
      <w:r>
        <w:rPr>
          <w:rFonts w:ascii="Wingdings" w:hAnsi="Wingdings" w:eastAsia="Wingdings" w:cs="Wingdings"/>
          <w:sz w:val="24"/>
        </w:rPr>
        <w:t></w:t>
      </w:r>
      <w:r>
        <w:rPr>
          <w:rFonts w:hint="eastAsia" w:ascii="宋体" w:hAnsi="宋体"/>
          <w:sz w:val="24"/>
        </w:rPr>
        <w:t>强制采购</w:t>
      </w:r>
      <w:r>
        <w:rPr>
          <w:rFonts w:ascii="Wingdings" w:hAnsi="Wingdings" w:eastAsia="Wingdings" w:cs="Wingdings"/>
          <w:sz w:val="24"/>
        </w:rPr>
        <w:t></w:t>
      </w:r>
      <w:r>
        <w:rPr>
          <w:rFonts w:hint="eastAsia" w:ascii="宋体" w:hAnsi="宋体"/>
          <w:sz w:val="24"/>
        </w:rPr>
        <w:t>优先采购</w:t>
      </w:r>
    </w:p>
    <w:p w14:paraId="6C407653">
      <w:pPr>
        <w:pageBreakBefore w:val="0"/>
        <w:tabs>
          <w:tab w:val="left" w:pos="740"/>
        </w:tabs>
        <w:spacing w:line="420" w:lineRule="exact"/>
        <w:ind w:firstLine="960"/>
        <w:rPr>
          <w:rFonts w:ascii="宋体" w:hAnsi="宋体"/>
          <w:sz w:val="24"/>
        </w:rPr>
      </w:pPr>
      <w:r>
        <w:rPr>
          <w:rFonts w:ascii="Wingdings" w:hAnsi="Wingdings" w:eastAsia="Wingdings" w:cs="Wingdings"/>
          <w:sz w:val="24"/>
        </w:rPr>
        <w:t></w:t>
      </w:r>
      <w:r>
        <w:rPr>
          <w:rFonts w:hint="eastAsia" w:ascii="宋体" w:hAnsi="宋体"/>
          <w:sz w:val="24"/>
        </w:rPr>
        <w:t>否</w:t>
      </w:r>
    </w:p>
    <w:p w14:paraId="2805A09B">
      <w:pPr>
        <w:pageBreakBefore w:val="0"/>
        <w:widowControl/>
        <w:spacing w:line="420" w:lineRule="exact"/>
        <w:ind w:firstLine="840"/>
        <w:jc w:val="left"/>
        <w:rPr>
          <w:rFonts w:ascii="宋体" w:hAnsi="宋体"/>
          <w:sz w:val="24"/>
        </w:rPr>
      </w:pPr>
      <w:r>
        <w:rPr>
          <w:rFonts w:hint="eastAsia" w:ascii="宋体" w:hAnsi="宋体"/>
          <w:sz w:val="24"/>
        </w:rPr>
        <w:t>是否涉及绿色产品：</w:t>
      </w:r>
    </w:p>
    <w:p w14:paraId="7FDD718C">
      <w:pPr>
        <w:pageBreakBefore w:val="0"/>
        <w:widowControl/>
        <w:spacing w:line="420" w:lineRule="exact"/>
        <w:ind w:firstLine="900"/>
        <w:jc w:val="left"/>
        <w:rPr>
          <w:rFonts w:ascii="宋体" w:hAnsi="宋体"/>
          <w:sz w:val="24"/>
        </w:rPr>
      </w:pPr>
      <w:r>
        <w:rPr>
          <w:rFonts w:ascii="Wingdings" w:hAnsi="Wingdings" w:eastAsia="Wingdings" w:cs="Wingdings"/>
          <w:sz w:val="24"/>
        </w:rPr>
        <w:t></w:t>
      </w:r>
      <w:r>
        <w:rPr>
          <w:rFonts w:hint="eastAsia" w:ascii="宋体" w:hAnsi="宋体"/>
          <w:sz w:val="24"/>
        </w:rPr>
        <w:t>是，绿色产品政府采购相关政策确定的底级品目名称：</w:t>
      </w:r>
    </w:p>
    <w:p w14:paraId="24A6F0E3">
      <w:pPr>
        <w:pageBreakBefore w:val="0"/>
        <w:tabs>
          <w:tab w:val="left" w:pos="740"/>
        </w:tabs>
        <w:spacing w:line="420" w:lineRule="exact"/>
        <w:ind w:firstLine="840"/>
        <w:rPr>
          <w:rFonts w:ascii="宋体" w:hAnsi="宋体"/>
          <w:sz w:val="24"/>
        </w:rPr>
      </w:pPr>
      <w:r>
        <w:rPr>
          <w:rFonts w:ascii="Wingdings" w:hAnsi="Wingdings" w:eastAsia="Wingdings" w:cs="Wingdings"/>
          <w:sz w:val="24"/>
        </w:rPr>
        <w:t></w:t>
      </w:r>
      <w:r>
        <w:rPr>
          <w:rFonts w:hint="eastAsia" w:ascii="宋体" w:hAnsi="宋体"/>
          <w:sz w:val="24"/>
        </w:rPr>
        <w:t>强制采购</w:t>
      </w:r>
      <w:r>
        <w:rPr>
          <w:rFonts w:ascii="Wingdings" w:hAnsi="Wingdings" w:eastAsia="Wingdings" w:cs="Wingdings"/>
          <w:sz w:val="24"/>
        </w:rPr>
        <w:t></w:t>
      </w:r>
      <w:r>
        <w:rPr>
          <w:rFonts w:hint="eastAsia" w:ascii="宋体" w:hAnsi="宋体"/>
          <w:sz w:val="24"/>
        </w:rPr>
        <w:t>优先采购</w:t>
      </w:r>
    </w:p>
    <w:p w14:paraId="18A90FF6">
      <w:pPr>
        <w:pageBreakBefore w:val="0"/>
        <w:widowControl/>
        <w:spacing w:line="420" w:lineRule="exact"/>
        <w:ind w:firstLine="900"/>
        <w:jc w:val="left"/>
        <w:rPr>
          <w:rFonts w:ascii="宋体" w:hAnsi="宋体" w:eastAsia="华文楷体" w:cs="华文楷体"/>
          <w:sz w:val="24"/>
        </w:rPr>
      </w:pPr>
      <w:r>
        <w:rPr>
          <w:rFonts w:ascii="Wingdings" w:hAnsi="Wingdings" w:eastAsia="Wingdings" w:cs="Wingdings"/>
          <w:sz w:val="24"/>
        </w:rPr>
        <w:t></w:t>
      </w:r>
      <w:r>
        <w:rPr>
          <w:rFonts w:hint="eastAsia" w:ascii="宋体" w:hAnsi="宋体"/>
          <w:sz w:val="24"/>
        </w:rPr>
        <w:t>否</w:t>
      </w:r>
    </w:p>
    <w:p w14:paraId="3DC5697A">
      <w:pPr>
        <w:pageBreakBefore w:val="0"/>
        <w:spacing w:line="420" w:lineRule="exact"/>
        <w:rPr>
          <w:rFonts w:ascii="宋体" w:hAnsi="宋体"/>
          <w:sz w:val="24"/>
        </w:rPr>
      </w:pPr>
      <w:r>
        <w:rPr>
          <w:rFonts w:hint="eastAsia" w:ascii="宋体" w:hAnsi="宋体"/>
          <w:sz w:val="24"/>
        </w:rPr>
        <w:t xml:space="preserve">    （1</w:t>
      </w:r>
      <w:r>
        <w:rPr>
          <w:rFonts w:ascii="宋体" w:hAnsi="宋体"/>
          <w:sz w:val="24"/>
        </w:rPr>
        <w:t>1</w:t>
      </w:r>
      <w:r>
        <w:rPr>
          <w:rFonts w:hint="eastAsia" w:ascii="宋体" w:hAnsi="宋体"/>
          <w:sz w:val="24"/>
        </w:rPr>
        <w:t>）涉及商品包装和快递包装的，是否参考《商品包装政府采购需求标准（试行）》、《快递包装政府采购需求标准（试行）》明确产品及相关快递服务的具体包装要求：</w:t>
      </w:r>
    </w:p>
    <w:p w14:paraId="42A870B5">
      <w:pPr>
        <w:pageBreakBefore w:val="0"/>
        <w:spacing w:line="420" w:lineRule="exact"/>
        <w:ind w:firstLine="960"/>
        <w:rPr>
          <w:rFonts w:ascii="宋体" w:hAnsi="宋体"/>
          <w:sz w:val="24"/>
        </w:rPr>
      </w:pPr>
      <w:r>
        <w:rPr>
          <w:rFonts w:ascii="Wingdings" w:hAnsi="Wingdings" w:eastAsia="Wingdings" w:cs="Wingdings"/>
          <w:sz w:val="24"/>
        </w:rPr>
        <w:t></w:t>
      </w:r>
      <w:r>
        <w:rPr>
          <w:rFonts w:hint="eastAsia" w:ascii="宋体" w:hAnsi="宋体"/>
          <w:sz w:val="24"/>
        </w:rPr>
        <w:t xml:space="preserve">是       </w:t>
      </w:r>
      <w:r>
        <w:rPr>
          <w:rFonts w:ascii="Wingdings" w:hAnsi="Wingdings" w:eastAsia="Wingdings" w:cs="Wingdings"/>
          <w:sz w:val="24"/>
        </w:rPr>
        <w:t></w:t>
      </w:r>
      <w:r>
        <w:rPr>
          <w:rFonts w:hint="eastAsia" w:ascii="宋体" w:hAnsi="宋体"/>
          <w:sz w:val="24"/>
        </w:rPr>
        <w:t>否</w:t>
      </w:r>
      <w:r>
        <w:rPr>
          <w:rFonts w:ascii="Wingdings" w:hAnsi="Wingdings" w:eastAsia="Wingdings" w:cs="Wingdings"/>
          <w:sz w:val="24"/>
        </w:rPr>
        <w:t></w:t>
      </w:r>
      <w:r>
        <w:rPr>
          <w:rFonts w:hint="eastAsia" w:ascii="宋体" w:hAnsi="宋体"/>
          <w:sz w:val="24"/>
        </w:rPr>
        <w:t>不涉及</w:t>
      </w:r>
    </w:p>
    <w:p w14:paraId="74FF944D">
      <w:pPr>
        <w:pageBreakBefore w:val="0"/>
        <w:numPr>
          <w:ilvl w:val="0"/>
          <w:numId w:val="1"/>
        </w:numPr>
        <w:spacing w:line="420" w:lineRule="exact"/>
        <w:ind w:firstLine="482"/>
        <w:rPr>
          <w:rFonts w:ascii="宋体" w:hAnsi="宋体"/>
          <w:b/>
          <w:sz w:val="24"/>
        </w:rPr>
      </w:pPr>
      <w:r>
        <w:rPr>
          <w:rFonts w:hint="eastAsia" w:ascii="宋体" w:hAnsi="宋体"/>
          <w:b/>
          <w:sz w:val="24"/>
        </w:rPr>
        <w:t>合同金额</w:t>
      </w:r>
    </w:p>
    <w:p w14:paraId="61F0BEB8">
      <w:pPr>
        <w:pageBreakBefore w:val="0"/>
        <w:spacing w:line="420" w:lineRule="exact"/>
        <w:ind w:firstLine="480"/>
        <w:rPr>
          <w:rFonts w:ascii="宋体" w:hAnsi="宋体"/>
          <w:sz w:val="24"/>
        </w:rPr>
      </w:pPr>
      <w:r>
        <w:rPr>
          <w:rFonts w:hint="eastAsia" w:ascii="宋体" w:hAnsi="宋体"/>
          <w:sz w:val="24"/>
        </w:rPr>
        <w:t>（1）合同金额小写：</w:t>
      </w:r>
    </w:p>
    <w:p w14:paraId="505F9373">
      <w:pPr>
        <w:pageBreakBefore w:val="0"/>
        <w:spacing w:line="420" w:lineRule="exact"/>
        <w:ind w:firstLine="600"/>
        <w:rPr>
          <w:rFonts w:ascii="宋体" w:hAnsi="宋体"/>
          <w:sz w:val="24"/>
          <w:u w:val="single"/>
        </w:rPr>
      </w:pPr>
      <w:r>
        <w:rPr>
          <w:rFonts w:hint="eastAsia" w:ascii="宋体" w:hAnsi="宋体"/>
          <w:sz w:val="24"/>
        </w:rPr>
        <w:t>大写：</w:t>
      </w:r>
    </w:p>
    <w:p w14:paraId="19BE8B86">
      <w:pPr>
        <w:pageBreakBefore w:val="0"/>
        <w:spacing w:line="420" w:lineRule="exact"/>
        <w:ind w:firstLine="480"/>
        <w:rPr>
          <w:rFonts w:ascii="宋体" w:hAnsi="宋体"/>
          <w:sz w:val="24"/>
        </w:rPr>
      </w:pPr>
      <w:r>
        <w:rPr>
          <w:rFonts w:hint="eastAsia" w:ascii="宋体" w:hAnsi="宋体"/>
          <w:sz w:val="24"/>
        </w:rPr>
        <w:t>分包金额（如有）小写：</w:t>
      </w:r>
    </w:p>
    <w:p w14:paraId="40A4E7DB">
      <w:pPr>
        <w:pageBreakBefore w:val="0"/>
        <w:spacing w:line="420" w:lineRule="exact"/>
        <w:ind w:firstLine="480"/>
        <w:rPr>
          <w:rFonts w:ascii="宋体" w:hAnsi="宋体"/>
          <w:sz w:val="24"/>
          <w:u w:val="single"/>
        </w:rPr>
      </w:pPr>
      <w:r>
        <w:rPr>
          <w:rFonts w:hint="eastAsia" w:ascii="宋体" w:hAnsi="宋体"/>
          <w:sz w:val="24"/>
        </w:rPr>
        <w:t>大写：</w:t>
      </w:r>
    </w:p>
    <w:p w14:paraId="42E86EA1">
      <w:pPr>
        <w:pageBreakBefore w:val="0"/>
        <w:spacing w:line="420" w:lineRule="exact"/>
        <w:jc w:val="center"/>
        <w:rPr>
          <w:rFonts w:ascii="宋体" w:hAnsi="宋体"/>
          <w:sz w:val="24"/>
        </w:rPr>
      </w:pPr>
      <w:r>
        <w:rPr>
          <w:rFonts w:hint="eastAsia" w:ascii="宋体" w:hAnsi="宋体"/>
          <w:sz w:val="24"/>
        </w:rPr>
        <w:t xml:space="preserve"> （2）付款方式（按项目实际勾选填写，具体详见专用条款第二节</w:t>
      </w:r>
    </w:p>
    <w:p w14:paraId="0BAA9DF4">
      <w:pPr>
        <w:pageBreakBefore w:val="0"/>
        <w:spacing w:line="420" w:lineRule="exact"/>
        <w:rPr>
          <w:rFonts w:ascii="宋体" w:hAnsi="宋体"/>
          <w:sz w:val="24"/>
        </w:rPr>
      </w:pPr>
      <w:r>
        <w:rPr>
          <w:rFonts w:hint="eastAsia" w:ascii="宋体" w:hAnsi="宋体"/>
          <w:sz w:val="24"/>
        </w:rPr>
        <w:t>第12.2款）：</w:t>
      </w:r>
    </w:p>
    <w:p w14:paraId="6ECC6C54">
      <w:pPr>
        <w:pageBreakBefore w:val="0"/>
        <w:spacing w:line="420" w:lineRule="exact"/>
        <w:ind w:firstLine="630"/>
        <w:rPr>
          <w:rFonts w:ascii="宋体" w:hAnsi="宋体"/>
          <w:szCs w:val="21"/>
          <w:u w:val="single"/>
        </w:rPr>
      </w:pPr>
      <w:r>
        <w:rPr>
          <w:rFonts w:ascii="Wingdings" w:hAnsi="Wingdings" w:eastAsia="Wingdings" w:cs="Wingdings"/>
          <w:szCs w:val="21"/>
        </w:rPr>
        <w:t>¨</w:t>
      </w:r>
      <w:r>
        <w:rPr>
          <w:rFonts w:hint="eastAsia" w:ascii="宋体" w:hAnsi="宋体"/>
          <w:szCs w:val="21"/>
        </w:rPr>
        <w:t>全额付款：</w:t>
      </w:r>
      <w:r>
        <w:rPr>
          <w:rFonts w:hint="eastAsia" w:ascii="宋体" w:hAnsi="宋体"/>
          <w:szCs w:val="21"/>
          <w:u w:val="single"/>
        </w:rPr>
        <w:t xml:space="preserve">     （应明确一次性支付合同款项的条件）                    </w:t>
      </w:r>
    </w:p>
    <w:p w14:paraId="0BEDE6FA">
      <w:pPr>
        <w:pageBreakBefore w:val="0"/>
        <w:spacing w:line="420" w:lineRule="exact"/>
        <w:ind w:firstLine="630"/>
        <w:rPr>
          <w:rFonts w:hint="eastAsia" w:ascii="宋体" w:hAnsi="宋体"/>
          <w:color w:val="0000FF"/>
          <w:szCs w:val="21"/>
          <w:u w:val="single"/>
        </w:rPr>
      </w:pPr>
      <w:r>
        <w:rPr>
          <w:rFonts w:ascii="Wingdings" w:hAnsi="Wingdings" w:eastAsia="Wingdings" w:cs="Wingdings"/>
          <w:szCs w:val="21"/>
        </w:rPr>
        <w:t>þ</w:t>
      </w:r>
      <w:r>
        <w:rPr>
          <w:rFonts w:hint="eastAsia" w:ascii="宋体" w:hAnsi="宋体"/>
          <w:szCs w:val="21"/>
        </w:rPr>
        <w:t>分期付款：</w:t>
      </w:r>
      <w:r>
        <w:rPr>
          <w:rFonts w:hint="eastAsia" w:ascii="宋体" w:hAnsi="宋体"/>
          <w:color w:val="0000FF"/>
          <w:szCs w:val="21"/>
          <w:u w:val="single"/>
        </w:rPr>
        <w:t>合同签订后十日内，预付款支付比例：支付合同金额的30%，（支付预付款前乙方须提供增值税发票和等价格预付款银行保函。）</w:t>
      </w:r>
    </w:p>
    <w:p w14:paraId="685A4CCD">
      <w:pPr>
        <w:pageBreakBefore w:val="0"/>
        <w:spacing w:line="420" w:lineRule="exact"/>
        <w:ind w:firstLine="630"/>
        <w:rPr>
          <w:rFonts w:hint="eastAsia" w:ascii="宋体" w:hAnsi="宋体"/>
          <w:color w:val="0000FF"/>
          <w:szCs w:val="21"/>
          <w:u w:val="single"/>
        </w:rPr>
      </w:pPr>
      <w:r>
        <w:rPr>
          <w:rFonts w:hint="eastAsia" w:ascii="宋体" w:hAnsi="宋体"/>
          <w:color w:val="0000FF"/>
          <w:szCs w:val="21"/>
          <w:u w:val="single"/>
        </w:rPr>
        <w:t>注：乙方向甲方申请预付款时，应向甲方提供合法有效提供增值税发票和等价格预付款银行保函，否则甲方有权迟延付款且不承担逾期付款违约责任。中标人也可以放弃预付款，如放弃预付款的，中标人应向采购人出具放弃预付款的声明函。</w:t>
      </w:r>
    </w:p>
    <w:p w14:paraId="20DD461C">
      <w:pPr>
        <w:pageBreakBefore w:val="0"/>
        <w:spacing w:line="420" w:lineRule="exact"/>
        <w:ind w:firstLine="630"/>
        <w:rPr>
          <w:rFonts w:hint="eastAsia" w:ascii="宋体" w:hAnsi="宋体"/>
          <w:szCs w:val="21"/>
          <w:u w:val="single"/>
        </w:rPr>
      </w:pPr>
      <w:r>
        <w:rPr>
          <w:rFonts w:hint="eastAsia" w:ascii="宋体" w:hAnsi="宋体"/>
          <w:color w:val="0000FF"/>
          <w:szCs w:val="21"/>
          <w:u w:val="single"/>
        </w:rPr>
        <w:t xml:space="preserve"> 尾款支付时间：车辆上牌验收合格交付后60天内无质量问题一次性付清尾款（以上付款均无息）</w:t>
      </w:r>
      <w:r>
        <w:rPr>
          <w:rFonts w:hint="eastAsia" w:ascii="宋体" w:hAnsi="宋体"/>
          <w:color w:val="0000FF"/>
          <w:szCs w:val="21"/>
          <w:u w:val="none"/>
        </w:rPr>
        <w:t>。</w:t>
      </w:r>
    </w:p>
    <w:p w14:paraId="2FF0BF9A">
      <w:pPr>
        <w:pageBreakBefore w:val="0"/>
        <w:spacing w:line="420" w:lineRule="exact"/>
        <w:ind w:firstLine="630"/>
        <w:rPr>
          <w:rFonts w:ascii="宋体" w:hAnsi="宋体"/>
          <w:szCs w:val="21"/>
          <w:u w:val="single"/>
        </w:rPr>
      </w:pPr>
      <w:r>
        <w:rPr>
          <w:rFonts w:ascii="Wingdings" w:hAnsi="Wingdings" w:eastAsia="Wingdings" w:cs="Wingdings"/>
          <w:szCs w:val="21"/>
        </w:rPr>
        <w:t>¨</w:t>
      </w:r>
      <w:r>
        <w:rPr>
          <w:rFonts w:hint="eastAsia" w:ascii="宋体" w:hAnsi="宋体"/>
          <w:szCs w:val="21"/>
        </w:rPr>
        <w:t>成本补偿：</w:t>
      </w:r>
      <w:r>
        <w:rPr>
          <w:rFonts w:hint="eastAsia" w:ascii="宋体" w:hAnsi="宋体"/>
          <w:szCs w:val="21"/>
          <w:u w:val="single"/>
        </w:rPr>
        <w:t xml:space="preserve">      （应明确按照成本补偿方式的支付方式和支付条件）   </w:t>
      </w:r>
    </w:p>
    <w:p w14:paraId="70B7C114">
      <w:pPr>
        <w:pageBreakBefore w:val="0"/>
        <w:spacing w:line="420" w:lineRule="exact"/>
        <w:ind w:firstLine="630"/>
        <w:rPr>
          <w:rFonts w:ascii="宋体" w:hAnsi="宋体"/>
          <w:szCs w:val="21"/>
        </w:rPr>
      </w:pPr>
      <w:r>
        <w:rPr>
          <w:rFonts w:ascii="Wingdings" w:hAnsi="Wingdings" w:eastAsia="Wingdings" w:cs="Wingdings"/>
          <w:szCs w:val="21"/>
        </w:rPr>
        <w:t>¨</w:t>
      </w:r>
      <w:r>
        <w:rPr>
          <w:rFonts w:hint="eastAsia" w:ascii="宋体" w:hAnsi="宋体"/>
          <w:szCs w:val="21"/>
        </w:rPr>
        <w:t>绩效激励：</w:t>
      </w:r>
      <w:r>
        <w:rPr>
          <w:rFonts w:hint="eastAsia" w:ascii="宋体" w:hAnsi="宋体"/>
          <w:szCs w:val="21"/>
          <w:u w:val="single"/>
        </w:rPr>
        <w:t xml:space="preserve">      （应明确按照绩效激励方式的支付方式和支付条件）   </w:t>
      </w:r>
    </w:p>
    <w:p w14:paraId="71A03E30">
      <w:pPr>
        <w:pageBreakBefore w:val="0"/>
        <w:spacing w:line="420" w:lineRule="exact"/>
        <w:ind w:firstLine="480"/>
        <w:rPr>
          <w:rFonts w:ascii="宋体" w:hAnsi="宋体" w:cs="宋体"/>
          <w:sz w:val="24"/>
        </w:rPr>
      </w:pPr>
      <w:r>
        <w:rPr>
          <w:rFonts w:hint="eastAsia" w:ascii="宋体" w:hAnsi="宋体" w:cs="宋体"/>
          <w:sz w:val="24"/>
        </w:rPr>
        <w:t>（备注：</w:t>
      </w:r>
      <w:r>
        <w:rPr>
          <w:rFonts w:hint="eastAsia" w:ascii="宋体" w:hAnsi="宋体" w:cs="宋体"/>
          <w:b/>
          <w:bCs/>
          <w:sz w:val="24"/>
        </w:rPr>
        <w:t>中标人也可以放弃预付款，如放弃预付款的，中标人应向采购人出具放弃预付款的声明函</w:t>
      </w:r>
      <w:r>
        <w:rPr>
          <w:rFonts w:hint="eastAsia" w:ascii="宋体" w:hAnsi="宋体" w:cs="宋体"/>
          <w:sz w:val="24"/>
        </w:rPr>
        <w:t>。）</w:t>
      </w:r>
    </w:p>
    <w:p w14:paraId="345D5B3C">
      <w:pPr>
        <w:pageBreakBefore w:val="0"/>
        <w:numPr>
          <w:ilvl w:val="0"/>
          <w:numId w:val="1"/>
        </w:numPr>
        <w:spacing w:line="420" w:lineRule="exact"/>
        <w:ind w:firstLine="482"/>
        <w:rPr>
          <w:rFonts w:ascii="宋体" w:hAnsi="宋体"/>
          <w:b/>
          <w:sz w:val="24"/>
          <w:u w:val="single"/>
        </w:rPr>
      </w:pPr>
      <w:r>
        <w:rPr>
          <w:rFonts w:hint="eastAsia" w:ascii="宋体" w:hAnsi="宋体"/>
          <w:b/>
          <w:sz w:val="24"/>
        </w:rPr>
        <w:t>合同履行</w:t>
      </w:r>
    </w:p>
    <w:p w14:paraId="1B5B921F">
      <w:pPr>
        <w:pageBreakBefore w:val="0"/>
        <w:spacing w:line="420" w:lineRule="exact"/>
        <w:ind w:firstLine="480"/>
        <w:rPr>
          <w:rFonts w:ascii="宋体" w:hAnsi="宋体" w:cs="宋体"/>
          <w:sz w:val="24"/>
        </w:rPr>
      </w:pPr>
      <w:r>
        <w:rPr>
          <w:rFonts w:hint="eastAsia" w:ascii="宋体" w:hAnsi="宋体" w:cs="宋体"/>
          <w:sz w:val="24"/>
        </w:rPr>
        <w:t>（1）起始日期：</w:t>
      </w:r>
      <w:r>
        <w:rPr>
          <w:rFonts w:hint="eastAsia" w:ascii="宋体" w:hAnsi="宋体" w:cs="宋体"/>
          <w:sz w:val="24"/>
          <w:u w:val="single"/>
        </w:rPr>
        <w:t xml:space="preserve">   </w:t>
      </w:r>
      <w:r>
        <w:rPr>
          <w:rFonts w:hint="eastAsia" w:ascii="宋体" w:hAnsi="宋体" w:cs="宋体"/>
          <w:sz w:val="24"/>
        </w:rPr>
        <w:t>年</w:t>
      </w:r>
      <w:r>
        <w:rPr>
          <w:rFonts w:hint="eastAsia" w:ascii="宋体" w:hAnsi="宋体" w:cs="宋体"/>
          <w:sz w:val="24"/>
          <w:u w:val="single"/>
        </w:rPr>
        <w:t xml:space="preserve">   </w:t>
      </w:r>
      <w:r>
        <w:rPr>
          <w:rFonts w:hint="eastAsia" w:ascii="宋体" w:hAnsi="宋体" w:cs="宋体"/>
          <w:sz w:val="24"/>
        </w:rPr>
        <w:t>月</w:t>
      </w:r>
      <w:r>
        <w:rPr>
          <w:rFonts w:hint="eastAsia" w:ascii="宋体" w:hAnsi="宋体" w:cs="宋体"/>
          <w:sz w:val="24"/>
          <w:u w:val="single"/>
        </w:rPr>
        <w:t xml:space="preserve">   </w:t>
      </w:r>
      <w:r>
        <w:rPr>
          <w:rFonts w:hint="eastAsia" w:ascii="宋体" w:hAnsi="宋体" w:cs="宋体"/>
          <w:sz w:val="24"/>
        </w:rPr>
        <w:t>日，完成日期：</w:t>
      </w:r>
      <w:r>
        <w:rPr>
          <w:rFonts w:hint="eastAsia" w:ascii="宋体" w:hAnsi="宋体" w:cs="宋体"/>
          <w:sz w:val="24"/>
          <w:u w:val="single"/>
        </w:rPr>
        <w:t xml:space="preserve">   </w:t>
      </w:r>
      <w:r>
        <w:rPr>
          <w:rFonts w:hint="eastAsia" w:ascii="宋体" w:hAnsi="宋体" w:cs="宋体"/>
          <w:sz w:val="24"/>
        </w:rPr>
        <w:t>年</w:t>
      </w:r>
      <w:r>
        <w:rPr>
          <w:rFonts w:hint="eastAsia" w:ascii="宋体" w:hAnsi="宋体" w:cs="宋体"/>
          <w:sz w:val="24"/>
          <w:u w:val="single"/>
        </w:rPr>
        <w:t xml:space="preserve">   </w:t>
      </w:r>
      <w:r>
        <w:rPr>
          <w:rFonts w:hint="eastAsia" w:ascii="宋体" w:hAnsi="宋体" w:cs="宋体"/>
          <w:sz w:val="24"/>
        </w:rPr>
        <w:t>月</w:t>
      </w:r>
      <w:r>
        <w:rPr>
          <w:rFonts w:hint="eastAsia" w:ascii="宋体" w:hAnsi="宋体" w:cs="宋体"/>
          <w:sz w:val="24"/>
          <w:u w:val="single"/>
        </w:rPr>
        <w:t xml:space="preserve">   </w:t>
      </w:r>
      <w:r>
        <w:rPr>
          <w:rFonts w:hint="eastAsia" w:ascii="宋体" w:hAnsi="宋体" w:cs="宋体"/>
          <w:sz w:val="24"/>
        </w:rPr>
        <w:t>日。</w:t>
      </w:r>
    </w:p>
    <w:p w14:paraId="2D906D3C">
      <w:pPr>
        <w:pageBreakBefore w:val="0"/>
        <w:spacing w:line="420" w:lineRule="exact"/>
        <w:ind w:firstLine="480"/>
        <w:rPr>
          <w:rFonts w:ascii="宋体" w:hAnsi="宋体" w:cs="宋体"/>
          <w:sz w:val="24"/>
          <w:u w:val="single"/>
        </w:rPr>
      </w:pPr>
      <w:r>
        <w:rPr>
          <w:rFonts w:hint="eastAsia" w:ascii="宋体" w:hAnsi="宋体" w:cs="宋体"/>
          <w:sz w:val="24"/>
        </w:rPr>
        <w:t>（2）履约地点</w:t>
      </w:r>
      <w:r>
        <w:rPr>
          <w:rFonts w:hint="eastAsia" w:ascii="宋体" w:hAnsi="宋体" w:cs="宋体"/>
          <w:bCs/>
          <w:sz w:val="24"/>
        </w:rPr>
        <w:t>：</w:t>
      </w:r>
      <w:r>
        <w:rPr>
          <w:rFonts w:hint="eastAsia" w:ascii="宋体" w:hAnsi="宋体" w:cs="宋体"/>
          <w:bCs/>
          <w:sz w:val="24"/>
          <w:u w:val="single"/>
        </w:rPr>
        <w:t xml:space="preserve">                              </w:t>
      </w:r>
      <w:r>
        <w:rPr>
          <w:rFonts w:hint="eastAsia" w:ascii="宋体" w:hAnsi="宋体" w:cs="宋体"/>
          <w:bCs/>
          <w:sz w:val="24"/>
        </w:rPr>
        <w:t xml:space="preserve">  </w:t>
      </w:r>
    </w:p>
    <w:p w14:paraId="458F9B75">
      <w:pPr>
        <w:pageBreakBefore w:val="0"/>
        <w:spacing w:line="420" w:lineRule="exact"/>
        <w:ind w:firstLine="480"/>
        <w:rPr>
          <w:rFonts w:ascii="宋体" w:hAnsi="宋体" w:cs="宋体"/>
          <w:sz w:val="24"/>
        </w:rPr>
      </w:pPr>
      <w:r>
        <w:rPr>
          <w:rFonts w:hint="eastAsia" w:ascii="宋体" w:hAnsi="宋体" w:cs="宋体"/>
          <w:bCs/>
          <w:sz w:val="24"/>
        </w:rPr>
        <w:t>（3）</w:t>
      </w:r>
      <w:r>
        <w:rPr>
          <w:rFonts w:hint="eastAsia" w:ascii="宋体" w:hAnsi="宋体" w:cs="宋体"/>
          <w:sz w:val="24"/>
        </w:rPr>
        <w:t>履约担保：履约担保：是否收取履约保证金：</w:t>
      </w:r>
      <w:r>
        <w:rPr>
          <w:rFonts w:ascii="Wingdings" w:hAnsi="Wingdings" w:eastAsia="Wingdings" w:cs="Wingdings"/>
          <w:sz w:val="24"/>
        </w:rPr>
        <w:t>þ</w:t>
      </w:r>
      <w:r>
        <w:rPr>
          <w:rFonts w:hint="eastAsia" w:ascii="宋体" w:hAnsi="宋体" w:cs="宋体"/>
          <w:sz w:val="24"/>
        </w:rPr>
        <w:t xml:space="preserve">是    </w:t>
      </w:r>
      <w:r>
        <w:rPr>
          <w:rFonts w:ascii="Wingdings" w:hAnsi="Wingdings" w:eastAsia="Wingdings" w:cs="Wingdings"/>
          <w:sz w:val="24"/>
        </w:rPr>
        <w:t>¨</w:t>
      </w:r>
      <w:r>
        <w:rPr>
          <w:rFonts w:hint="eastAsia" w:ascii="宋体" w:hAnsi="宋体" w:cs="宋体"/>
          <w:sz w:val="24"/>
        </w:rPr>
        <w:t>否</w:t>
      </w:r>
    </w:p>
    <w:p w14:paraId="66D5AE44">
      <w:pPr>
        <w:pageBreakBefore w:val="0"/>
        <w:spacing w:line="420" w:lineRule="exact"/>
        <w:ind w:firstLine="480"/>
        <w:rPr>
          <w:rFonts w:ascii="宋体" w:hAnsi="宋体" w:cs="宋体"/>
          <w:sz w:val="24"/>
        </w:rPr>
      </w:pPr>
      <w:r>
        <w:rPr>
          <w:rFonts w:hint="eastAsia" w:ascii="宋体" w:hAnsi="宋体" w:cs="宋体"/>
          <w:sz w:val="24"/>
        </w:rPr>
        <w:t xml:space="preserve">     收取履约保证金形式：</w:t>
      </w:r>
      <w:r>
        <w:rPr>
          <w:rFonts w:hint="eastAsia" w:ascii="宋体" w:hAnsi="宋体" w:cs="宋体"/>
          <w:bCs/>
          <w:sz w:val="24"/>
          <w:u w:val="single"/>
        </w:rPr>
        <w:t xml:space="preserve">                              </w:t>
      </w:r>
      <w:r>
        <w:rPr>
          <w:rFonts w:hint="eastAsia" w:ascii="宋体" w:hAnsi="宋体" w:cs="宋体"/>
          <w:bCs/>
          <w:sz w:val="24"/>
        </w:rPr>
        <w:t xml:space="preserve">  </w:t>
      </w:r>
      <w:r>
        <w:rPr>
          <w:rFonts w:hint="eastAsia" w:ascii="宋体" w:hAnsi="宋体" w:cs="宋体"/>
          <w:sz w:val="24"/>
        </w:rPr>
        <w:t xml:space="preserve">                            </w:t>
      </w:r>
    </w:p>
    <w:p w14:paraId="792234F5">
      <w:pPr>
        <w:pageBreakBefore w:val="0"/>
        <w:spacing w:line="500" w:lineRule="exact"/>
        <w:ind w:firstLine="480"/>
        <w:rPr>
          <w:rFonts w:ascii="宋体" w:hAnsi="宋体" w:cs="宋体"/>
          <w:sz w:val="24"/>
          <w:szCs w:val="24"/>
        </w:rPr>
      </w:pPr>
      <w:r>
        <w:rPr>
          <w:rFonts w:hint="eastAsia" w:ascii="宋体" w:hAnsi="宋体" w:cs="宋体"/>
          <w:sz w:val="24"/>
        </w:rPr>
        <w:t xml:space="preserve">   </w:t>
      </w:r>
      <w:r>
        <w:rPr>
          <w:rFonts w:hint="eastAsia" w:ascii="宋体" w:hAnsi="宋体" w:cs="宋体"/>
          <w:sz w:val="24"/>
          <w:szCs w:val="24"/>
        </w:rPr>
        <w:t xml:space="preserve"> 收取履约保证金金额：</w:t>
      </w:r>
      <w:r>
        <w:rPr>
          <w:rFonts w:hint="eastAsia" w:ascii="宋体" w:hAnsi="宋体" w:cs="宋体"/>
          <w:bCs/>
          <w:sz w:val="24"/>
          <w:szCs w:val="24"/>
          <w:u w:val="single"/>
        </w:rPr>
        <w:t xml:space="preserve">   </w:t>
      </w:r>
      <w:r>
        <w:rPr>
          <w:rFonts w:hint="eastAsia" w:ascii="宋体" w:hAnsi="宋体" w:cs="宋体"/>
          <w:bCs/>
          <w:sz w:val="24"/>
          <w:szCs w:val="24"/>
          <w:u w:val="single"/>
          <w:lang w:val="en-US" w:eastAsia="zh-CN"/>
        </w:rPr>
        <w:t>合同价的5%</w:t>
      </w:r>
      <w:r>
        <w:rPr>
          <w:rFonts w:hint="eastAsia" w:ascii="宋体" w:hAnsi="宋体" w:cs="宋体"/>
          <w:bCs/>
          <w:sz w:val="24"/>
          <w:szCs w:val="24"/>
          <w:u w:val="single"/>
        </w:rPr>
        <w:t xml:space="preserve">    </w:t>
      </w:r>
      <w:r>
        <w:rPr>
          <w:rFonts w:hint="eastAsia" w:ascii="宋体" w:hAnsi="宋体" w:cs="宋体"/>
          <w:bCs/>
          <w:sz w:val="24"/>
          <w:szCs w:val="24"/>
        </w:rPr>
        <w:t xml:space="preserve">  </w:t>
      </w:r>
      <w:r>
        <w:rPr>
          <w:rFonts w:hint="eastAsia" w:ascii="宋体" w:hAnsi="宋体" w:cs="宋体"/>
          <w:sz w:val="24"/>
          <w:szCs w:val="24"/>
        </w:rPr>
        <w:t xml:space="preserve">                            </w:t>
      </w:r>
    </w:p>
    <w:p w14:paraId="341BA279">
      <w:pPr>
        <w:pageBreakBefore w:val="0"/>
        <w:spacing w:line="500" w:lineRule="exact"/>
        <w:ind w:firstLine="480"/>
        <w:rPr>
          <w:rFonts w:ascii="宋体" w:hAnsi="宋体" w:cs="宋体"/>
          <w:bCs/>
          <w:sz w:val="24"/>
          <w:szCs w:val="24"/>
          <w:u w:val="single"/>
        </w:rPr>
      </w:pPr>
      <w:r>
        <w:rPr>
          <w:rFonts w:hint="eastAsia" w:ascii="宋体" w:hAnsi="宋体" w:cs="宋体"/>
          <w:sz w:val="24"/>
          <w:szCs w:val="24"/>
        </w:rPr>
        <w:t xml:space="preserve">     履约担保期限： </w:t>
      </w:r>
      <w:r>
        <w:rPr>
          <w:rFonts w:hint="eastAsia" w:ascii="宋体" w:hAnsi="宋体" w:cs="宋体"/>
          <w:bCs/>
          <w:sz w:val="24"/>
          <w:szCs w:val="24"/>
          <w:u w:val="single"/>
        </w:rPr>
        <w:t xml:space="preserve">                                    </w:t>
      </w:r>
    </w:p>
    <w:p w14:paraId="654F2ED8">
      <w:pPr>
        <w:pageBreakBefore w:val="0"/>
        <w:numPr>
          <w:ilvl w:val="0"/>
          <w:numId w:val="0"/>
        </w:numPr>
        <w:spacing w:line="500" w:lineRule="exact"/>
        <w:ind w:firstLine="480"/>
        <w:rPr>
          <w:rFonts w:ascii="宋体" w:hAnsi="宋体" w:cs="宋体"/>
          <w:bCs/>
          <w:color w:val="C00000"/>
          <w:sz w:val="24"/>
          <w:szCs w:val="24"/>
        </w:rPr>
      </w:pPr>
      <w:r>
        <w:rPr>
          <w:rFonts w:ascii="宋体" w:hAnsi="宋体" w:cs="宋体" w:eastAsiaTheme="minorEastAsia"/>
          <w:bCs/>
          <w:color w:val="C00000"/>
          <w:sz w:val="24"/>
          <w:szCs w:val="24"/>
          <w:lang w:val="en-US" w:eastAsia="zh-CN" w:bidi="ar-SA"/>
        </w:rPr>
        <w:t>（4）</w:t>
      </w:r>
      <w:r>
        <w:rPr>
          <w:rFonts w:hint="eastAsia" w:ascii="宋体" w:hAnsi="宋体" w:cs="宋体"/>
          <w:bCs/>
          <w:color w:val="C00000"/>
          <w:sz w:val="24"/>
          <w:szCs w:val="24"/>
        </w:rPr>
        <w:t>履约保证金的缴纳形式：</w:t>
      </w:r>
    </w:p>
    <w:p w14:paraId="28859F3A">
      <w:pPr>
        <w:pStyle w:val="29"/>
        <w:pageBreakBefore w:val="0"/>
        <w:spacing w:before="120" w:beforeAutospacing="0" w:after="120" w:afterAutospacing="0" w:line="500" w:lineRule="exact"/>
        <w:ind w:left="210" w:firstLine="480"/>
        <w:jc w:val="both"/>
        <w:rPr>
          <w:rFonts w:hint="eastAsia" w:ascii="宋体" w:hAnsi="宋体" w:cs="宋体"/>
          <w:bCs/>
          <w:color w:val="C00000"/>
          <w:sz w:val="24"/>
          <w:szCs w:val="24"/>
          <w:highlight w:val="yellow"/>
        </w:rPr>
      </w:pPr>
      <w:r>
        <w:rPr>
          <w:rFonts w:hint="eastAsia" w:ascii="宋体" w:hAnsi="宋体" w:cs="宋体"/>
          <w:bCs/>
          <w:color w:val="C00000"/>
          <w:sz w:val="24"/>
          <w:szCs w:val="24"/>
        </w:rPr>
        <w:t>本项目履约保证金按中标（合同）价的5%执行，中标人应在签订合同前将履约保证金应当以支票、汇票、本票或者金融机构、担保机构出具的保函</w:t>
      </w:r>
      <w:r>
        <w:rPr>
          <w:rFonts w:hint="eastAsia" w:cs="宋体"/>
          <w:bCs/>
          <w:color w:val="C00000"/>
          <w:sz w:val="24"/>
          <w:szCs w:val="24"/>
          <w:lang w:val="en-US" w:eastAsia="zh-CN"/>
        </w:rPr>
        <w:t>见索即付</w:t>
      </w:r>
      <w:r>
        <w:rPr>
          <w:rFonts w:hint="eastAsia" w:ascii="宋体" w:hAnsi="宋体" w:cs="宋体"/>
          <w:bCs/>
          <w:color w:val="C00000"/>
          <w:sz w:val="24"/>
          <w:szCs w:val="24"/>
        </w:rPr>
        <w:t>等非现金形式提交履约保证金。以转帐、电汇或银行汇票等形式从乙方的帐户转至下列账户，单位名称:阜宁县殡仪服务中心</w:t>
      </w:r>
      <w:r>
        <w:rPr>
          <w:rFonts w:hint="eastAsia" w:cs="宋体"/>
          <w:bCs/>
          <w:color w:val="C00000"/>
          <w:sz w:val="24"/>
          <w:szCs w:val="24"/>
          <w:lang w:eastAsia="zh-CN"/>
        </w:rPr>
        <w:t>，</w:t>
      </w:r>
      <w:r>
        <w:rPr>
          <w:rFonts w:hint="eastAsia" w:ascii="宋体" w:hAnsi="宋体" w:cs="宋体"/>
          <w:bCs/>
          <w:color w:val="C00000"/>
          <w:sz w:val="24"/>
          <w:szCs w:val="24"/>
        </w:rPr>
        <w:t>银行</w:t>
      </w:r>
      <w:r>
        <w:rPr>
          <w:rFonts w:hint="eastAsia" w:cs="宋体"/>
          <w:bCs/>
          <w:color w:val="C00000"/>
          <w:sz w:val="24"/>
          <w:szCs w:val="24"/>
          <w:lang w:val="en-US" w:eastAsia="zh-CN"/>
        </w:rPr>
        <w:t>账</w:t>
      </w:r>
      <w:r>
        <w:rPr>
          <w:rFonts w:hint="eastAsia" w:ascii="宋体" w:hAnsi="宋体" w:cs="宋体"/>
          <w:bCs/>
          <w:color w:val="C00000"/>
          <w:sz w:val="24"/>
          <w:szCs w:val="24"/>
        </w:rPr>
        <w:t>号:1109670109200188659</w:t>
      </w:r>
      <w:r>
        <w:rPr>
          <w:rFonts w:hint="eastAsia" w:cs="宋体"/>
          <w:bCs/>
          <w:color w:val="C00000"/>
          <w:sz w:val="24"/>
          <w:szCs w:val="24"/>
          <w:lang w:eastAsia="zh-CN"/>
        </w:rPr>
        <w:t>，</w:t>
      </w:r>
      <w:r>
        <w:rPr>
          <w:rFonts w:hint="eastAsia" w:ascii="宋体" w:hAnsi="宋体" w:cs="宋体"/>
          <w:bCs/>
          <w:color w:val="C00000"/>
          <w:sz w:val="24"/>
          <w:szCs w:val="24"/>
        </w:rPr>
        <w:t>开户银行:工行阜宁支行营业</w:t>
      </w:r>
      <w:r>
        <w:rPr>
          <w:rFonts w:hint="eastAsia" w:ascii="宋体" w:hAnsi="宋体" w:cs="宋体"/>
          <w:bCs/>
          <w:color w:val="C00000"/>
          <w:sz w:val="24"/>
          <w:szCs w:val="24"/>
          <w:highlight w:val="none"/>
        </w:rPr>
        <w:t>部。</w:t>
      </w:r>
    </w:p>
    <w:p w14:paraId="3A582335">
      <w:pPr>
        <w:pStyle w:val="29"/>
        <w:pageBreakBefore w:val="0"/>
        <w:spacing w:before="120" w:beforeAutospacing="0" w:after="120" w:afterAutospacing="0" w:line="500" w:lineRule="exact"/>
        <w:ind w:left="210" w:firstLine="240"/>
        <w:jc w:val="both"/>
        <w:rPr>
          <w:rFonts w:hint="eastAsia" w:ascii="宋体" w:hAnsi="宋体" w:cs="宋体"/>
          <w:bCs/>
          <w:color w:val="C00000"/>
          <w:sz w:val="24"/>
          <w:szCs w:val="24"/>
        </w:rPr>
      </w:pPr>
      <w:r>
        <w:rPr>
          <w:rFonts w:hint="eastAsia" w:ascii="宋体" w:hAnsi="宋体" w:cs="宋体"/>
          <w:bCs/>
          <w:color w:val="C00000"/>
          <w:sz w:val="24"/>
          <w:szCs w:val="24"/>
        </w:rPr>
        <w:t>鼓励供应商以履约保函（保险）形式缴纳履约保证金，供应商可通过政府采购电子履约保函（保险）平台（www.jsdzbh.com）在线申请履约保函（保险）。采用保函形式提交的，其受益人为甲方，保函的有效期不得低于合同的履行期限。</w:t>
      </w:r>
    </w:p>
    <w:p w14:paraId="735C00C5">
      <w:pPr>
        <w:pageBreakBefore w:val="0"/>
        <w:spacing w:line="420" w:lineRule="exact"/>
        <w:ind w:firstLine="480"/>
        <w:rPr>
          <w:rFonts w:ascii="宋体" w:hAnsi="宋体" w:cs="宋体"/>
          <w:bCs/>
          <w:sz w:val="24"/>
        </w:rPr>
      </w:pPr>
      <w:r>
        <w:rPr>
          <w:rFonts w:hint="eastAsia" w:ascii="宋体" w:hAnsi="宋体" w:cs="宋体"/>
          <w:bCs/>
          <w:color w:val="C00000"/>
          <w:sz w:val="24"/>
          <w:szCs w:val="24"/>
        </w:rPr>
        <w:t>采购人对第三方信用服务机构依据标准规范评定为 AA 级及以上的政府采购供应商（需在签订采购合同前提供信用管理 部门备案的第三方信用报告，且信用报告通过“信用盐城网”可查实），免收履约保证金。</w:t>
      </w:r>
      <w:r>
        <w:rPr>
          <w:rFonts w:hint="eastAsia" w:ascii="宋体" w:hAnsi="宋体" w:cs="宋体"/>
          <w:bCs/>
          <w:sz w:val="24"/>
          <w:szCs w:val="24"/>
        </w:rPr>
        <w:t xml:space="preserve">  </w:t>
      </w:r>
      <w:r>
        <w:rPr>
          <w:rFonts w:hint="eastAsia" w:ascii="宋体" w:hAnsi="宋体" w:cs="宋体"/>
          <w:sz w:val="24"/>
          <w:szCs w:val="24"/>
        </w:rPr>
        <w:t xml:space="preserve">       </w:t>
      </w:r>
      <w:r>
        <w:rPr>
          <w:rFonts w:hint="eastAsia" w:ascii="宋体" w:hAnsi="宋体" w:cs="宋体"/>
        </w:rPr>
        <w:t xml:space="preserve">                                 </w:t>
      </w:r>
    </w:p>
    <w:p w14:paraId="1A89AA9C">
      <w:pPr>
        <w:pageBreakBefore w:val="0"/>
        <w:spacing w:line="420" w:lineRule="exact"/>
        <w:ind w:firstLine="480"/>
        <w:rPr>
          <w:rFonts w:ascii="宋体" w:hAnsi="宋体" w:cs="宋体"/>
          <w:bCs/>
          <w:sz w:val="24"/>
        </w:rPr>
      </w:pPr>
      <w:r>
        <w:rPr>
          <w:rFonts w:hint="eastAsia" w:ascii="宋体" w:hAnsi="宋体" w:cs="宋体"/>
          <w:bCs/>
          <w:sz w:val="24"/>
        </w:rPr>
        <w:t>（5）分期履行要求：</w:t>
      </w:r>
    </w:p>
    <w:p w14:paraId="79D7EEF7">
      <w:pPr>
        <w:pageBreakBefore w:val="0"/>
        <w:spacing w:line="420" w:lineRule="exact"/>
        <w:ind w:firstLine="480"/>
        <w:rPr>
          <w:rFonts w:ascii="宋体" w:hAnsi="宋体" w:cs="宋体"/>
          <w:sz w:val="24"/>
          <w:u w:val="single"/>
        </w:rPr>
      </w:pPr>
      <w:r>
        <w:rPr>
          <w:rFonts w:hint="eastAsia" w:ascii="宋体" w:hAnsi="宋体" w:cs="宋体"/>
          <w:bCs/>
          <w:sz w:val="24"/>
        </w:rPr>
        <w:t>（6）风险处置措施和替代方案：</w:t>
      </w:r>
    </w:p>
    <w:p w14:paraId="54E00B7F">
      <w:pPr>
        <w:pageBreakBefore w:val="0"/>
        <w:numPr>
          <w:ilvl w:val="0"/>
          <w:numId w:val="1"/>
        </w:numPr>
        <w:spacing w:line="420" w:lineRule="exact"/>
        <w:ind w:firstLine="482"/>
        <w:rPr>
          <w:rFonts w:ascii="宋体" w:hAnsi="宋体"/>
          <w:b/>
          <w:sz w:val="24"/>
        </w:rPr>
      </w:pPr>
      <w:r>
        <w:rPr>
          <w:rFonts w:hint="eastAsia" w:ascii="宋体" w:hAnsi="宋体"/>
          <w:b/>
          <w:sz w:val="24"/>
        </w:rPr>
        <w:t>合同验收</w:t>
      </w:r>
    </w:p>
    <w:p w14:paraId="17F7AE18">
      <w:pPr>
        <w:pageBreakBefore w:val="0"/>
        <w:numPr>
          <w:ilvl w:val="0"/>
          <w:numId w:val="3"/>
        </w:numPr>
        <w:spacing w:line="420" w:lineRule="exact"/>
        <w:ind w:firstLine="480"/>
        <w:rPr>
          <w:rFonts w:ascii="宋体" w:hAnsi="宋体"/>
          <w:bCs/>
          <w:sz w:val="24"/>
        </w:rPr>
      </w:pPr>
      <w:r>
        <w:rPr>
          <w:rFonts w:hint="eastAsia" w:ascii="宋体" w:hAnsi="宋体"/>
          <w:bCs/>
          <w:sz w:val="24"/>
        </w:rPr>
        <w:t>验收组织方式：</w:t>
      </w:r>
      <w:r>
        <w:rPr>
          <w:rFonts w:ascii="Wingdings" w:hAnsi="Wingdings" w:eastAsia="Wingdings" w:cs="Wingdings"/>
          <w:sz w:val="24"/>
        </w:rPr>
        <w:t></w:t>
      </w:r>
      <w:r>
        <w:rPr>
          <w:rFonts w:hint="eastAsia" w:ascii="宋体" w:hAnsi="宋体"/>
          <w:bCs/>
          <w:sz w:val="24"/>
        </w:rPr>
        <w:t xml:space="preserve">自行组织 </w:t>
      </w:r>
      <w:r>
        <w:rPr>
          <w:rFonts w:ascii="Wingdings" w:hAnsi="Wingdings" w:eastAsia="Wingdings" w:cs="Wingdings"/>
          <w:sz w:val="24"/>
        </w:rPr>
        <w:t></w:t>
      </w:r>
      <w:r>
        <w:rPr>
          <w:rFonts w:hint="eastAsia" w:ascii="宋体" w:hAnsi="宋体"/>
          <w:bCs/>
          <w:sz w:val="24"/>
        </w:rPr>
        <w:t>委托第三方组织</w:t>
      </w:r>
    </w:p>
    <w:p w14:paraId="43F927E1">
      <w:pPr>
        <w:pageBreakBefore w:val="0"/>
        <w:spacing w:line="420" w:lineRule="exact"/>
        <w:ind w:firstLine="960"/>
        <w:rPr>
          <w:rFonts w:ascii="宋体" w:hAnsi="宋体" w:cs="宋体"/>
          <w:sz w:val="24"/>
        </w:rPr>
      </w:pPr>
      <w:r>
        <w:rPr>
          <w:rFonts w:hint="eastAsia" w:ascii="宋体" w:hAnsi="宋体"/>
          <w:bCs/>
          <w:sz w:val="24"/>
        </w:rPr>
        <w:t>验收主体：</w:t>
      </w:r>
      <w:r>
        <w:rPr>
          <w:rFonts w:hint="eastAsia" w:ascii="宋体" w:hAnsi="宋体" w:cs="宋体"/>
          <w:sz w:val="24"/>
        </w:rPr>
        <w:t xml:space="preserve"> </w:t>
      </w:r>
      <w:r>
        <w:rPr>
          <w:rFonts w:hint="eastAsia" w:ascii="宋体" w:hAnsi="宋体" w:cs="宋体"/>
          <w:bCs/>
          <w:sz w:val="24"/>
          <w:u w:val="single"/>
        </w:rPr>
        <w:t xml:space="preserve">                         </w:t>
      </w:r>
      <w:r>
        <w:rPr>
          <w:rFonts w:hint="eastAsia" w:ascii="宋体" w:hAnsi="宋体" w:cs="宋体"/>
          <w:sz w:val="24"/>
        </w:rPr>
        <w:t xml:space="preserve"> </w:t>
      </w:r>
    </w:p>
    <w:p w14:paraId="70DEB305">
      <w:pPr>
        <w:pageBreakBefore w:val="0"/>
        <w:spacing w:line="420" w:lineRule="exact"/>
        <w:ind w:firstLine="960"/>
        <w:rPr>
          <w:rFonts w:ascii="宋体" w:hAnsi="宋体"/>
          <w:bCs/>
          <w:sz w:val="24"/>
        </w:rPr>
      </w:pPr>
      <w:r>
        <w:rPr>
          <w:rFonts w:hint="eastAsia" w:ascii="宋体" w:hAnsi="宋体"/>
          <w:bCs/>
          <w:sz w:val="24"/>
        </w:rPr>
        <w:t>是否邀请本项目的其他供应商参加验收：</w:t>
      </w:r>
      <w:r>
        <w:rPr>
          <w:rFonts w:ascii="Wingdings" w:hAnsi="Wingdings" w:eastAsia="Wingdings" w:cs="Wingdings"/>
          <w:sz w:val="24"/>
        </w:rPr>
        <w:t></w:t>
      </w:r>
      <w:r>
        <w:rPr>
          <w:rFonts w:hint="eastAsia" w:ascii="宋体" w:hAnsi="宋体"/>
          <w:bCs/>
          <w:sz w:val="24"/>
        </w:rPr>
        <w:t xml:space="preserve">是  </w:t>
      </w:r>
      <w:r>
        <w:rPr>
          <w:rFonts w:ascii="Wingdings" w:hAnsi="Wingdings" w:eastAsia="Wingdings" w:cs="Wingdings"/>
          <w:sz w:val="24"/>
        </w:rPr>
        <w:t></w:t>
      </w:r>
      <w:r>
        <w:rPr>
          <w:rFonts w:hint="eastAsia" w:ascii="宋体" w:hAnsi="宋体"/>
          <w:bCs/>
          <w:sz w:val="24"/>
        </w:rPr>
        <w:t>否</w:t>
      </w:r>
    </w:p>
    <w:p w14:paraId="035A416E">
      <w:pPr>
        <w:pageBreakBefore w:val="0"/>
        <w:spacing w:line="420" w:lineRule="exact"/>
        <w:ind w:firstLine="960"/>
        <w:rPr>
          <w:rFonts w:ascii="宋体" w:hAnsi="宋体"/>
          <w:bCs/>
          <w:sz w:val="24"/>
        </w:rPr>
      </w:pPr>
      <w:r>
        <w:rPr>
          <w:rFonts w:hint="eastAsia" w:ascii="宋体" w:hAnsi="宋体"/>
          <w:bCs/>
          <w:sz w:val="24"/>
        </w:rPr>
        <w:t>是否邀请专家参加验收：</w:t>
      </w:r>
      <w:r>
        <w:rPr>
          <w:rFonts w:ascii="Wingdings" w:hAnsi="Wingdings" w:eastAsia="Wingdings" w:cs="Wingdings"/>
          <w:sz w:val="24"/>
        </w:rPr>
        <w:t></w:t>
      </w:r>
      <w:r>
        <w:rPr>
          <w:rFonts w:hint="eastAsia" w:ascii="宋体" w:hAnsi="宋体"/>
          <w:bCs/>
          <w:sz w:val="24"/>
        </w:rPr>
        <w:t xml:space="preserve">是  </w:t>
      </w:r>
      <w:r>
        <w:rPr>
          <w:rFonts w:ascii="Wingdings" w:hAnsi="Wingdings" w:eastAsia="Wingdings" w:cs="Wingdings"/>
          <w:sz w:val="24"/>
        </w:rPr>
        <w:t></w:t>
      </w:r>
      <w:r>
        <w:rPr>
          <w:rFonts w:hint="eastAsia" w:ascii="宋体" w:hAnsi="宋体"/>
          <w:bCs/>
          <w:sz w:val="24"/>
        </w:rPr>
        <w:t>否</w:t>
      </w:r>
    </w:p>
    <w:p w14:paraId="77E86DE3">
      <w:pPr>
        <w:pageBreakBefore w:val="0"/>
        <w:spacing w:line="420" w:lineRule="exact"/>
        <w:ind w:firstLine="960"/>
        <w:rPr>
          <w:rFonts w:ascii="宋体" w:hAnsi="宋体"/>
          <w:bCs/>
          <w:sz w:val="24"/>
        </w:rPr>
      </w:pPr>
      <w:r>
        <w:rPr>
          <w:rFonts w:hint="eastAsia" w:ascii="宋体" w:hAnsi="宋体"/>
          <w:bCs/>
          <w:sz w:val="24"/>
        </w:rPr>
        <w:t>是否邀请服务对象参加验收：</w:t>
      </w:r>
      <w:r>
        <w:rPr>
          <w:rFonts w:ascii="Wingdings" w:hAnsi="Wingdings" w:eastAsia="Wingdings" w:cs="Wingdings"/>
          <w:sz w:val="24"/>
        </w:rPr>
        <w:t></w:t>
      </w:r>
      <w:r>
        <w:rPr>
          <w:rFonts w:hint="eastAsia" w:ascii="宋体" w:hAnsi="宋体"/>
          <w:bCs/>
          <w:sz w:val="24"/>
        </w:rPr>
        <w:t xml:space="preserve">是  </w:t>
      </w:r>
      <w:r>
        <w:rPr>
          <w:rFonts w:ascii="Wingdings" w:hAnsi="Wingdings" w:eastAsia="Wingdings" w:cs="Wingdings"/>
          <w:sz w:val="24"/>
        </w:rPr>
        <w:t></w:t>
      </w:r>
      <w:r>
        <w:rPr>
          <w:rFonts w:hint="eastAsia" w:ascii="宋体" w:hAnsi="宋体"/>
          <w:bCs/>
          <w:sz w:val="24"/>
        </w:rPr>
        <w:t>否</w:t>
      </w:r>
    </w:p>
    <w:p w14:paraId="2283072F">
      <w:pPr>
        <w:pageBreakBefore w:val="0"/>
        <w:spacing w:line="420" w:lineRule="exact"/>
        <w:ind w:firstLine="960"/>
        <w:rPr>
          <w:rFonts w:ascii="宋体" w:hAnsi="宋体"/>
          <w:bCs/>
          <w:sz w:val="24"/>
        </w:rPr>
      </w:pPr>
      <w:r>
        <w:rPr>
          <w:rFonts w:hint="eastAsia" w:ascii="宋体" w:hAnsi="宋体"/>
          <w:bCs/>
          <w:sz w:val="24"/>
        </w:rPr>
        <w:t>是否邀请第三方检测机构参加验收：</w:t>
      </w:r>
      <w:r>
        <w:rPr>
          <w:rFonts w:ascii="Wingdings" w:hAnsi="Wingdings" w:eastAsia="Wingdings" w:cs="Wingdings"/>
          <w:sz w:val="24"/>
        </w:rPr>
        <w:t></w:t>
      </w:r>
      <w:r>
        <w:rPr>
          <w:rFonts w:hint="eastAsia" w:ascii="宋体" w:hAnsi="宋体"/>
          <w:bCs/>
          <w:sz w:val="24"/>
        </w:rPr>
        <w:t xml:space="preserve">是  </w:t>
      </w:r>
      <w:r>
        <w:rPr>
          <w:rFonts w:ascii="Wingdings" w:hAnsi="Wingdings" w:eastAsia="Wingdings" w:cs="Wingdings"/>
          <w:sz w:val="24"/>
        </w:rPr>
        <w:t></w:t>
      </w:r>
      <w:r>
        <w:rPr>
          <w:rFonts w:hint="eastAsia" w:ascii="宋体" w:hAnsi="宋体"/>
          <w:bCs/>
          <w:sz w:val="24"/>
        </w:rPr>
        <w:t>否</w:t>
      </w:r>
    </w:p>
    <w:p w14:paraId="70693F4B">
      <w:pPr>
        <w:pageBreakBefore w:val="0"/>
        <w:spacing w:line="420" w:lineRule="exact"/>
        <w:ind w:firstLine="960"/>
        <w:rPr>
          <w:rFonts w:ascii="宋体" w:hAnsi="宋体"/>
          <w:bCs/>
          <w:sz w:val="24"/>
        </w:rPr>
      </w:pPr>
      <w:r>
        <w:rPr>
          <w:rFonts w:hint="eastAsia" w:ascii="宋体" w:hAnsi="宋体"/>
          <w:bCs/>
          <w:sz w:val="24"/>
        </w:rPr>
        <w:t>是否进行抽查检测：</w:t>
      </w:r>
      <w:r>
        <w:rPr>
          <w:rFonts w:ascii="Wingdings" w:hAnsi="Wingdings" w:eastAsia="Wingdings" w:cs="Wingdings"/>
          <w:sz w:val="24"/>
        </w:rPr>
        <w:t></w:t>
      </w:r>
      <w:r>
        <w:rPr>
          <w:rFonts w:hint="eastAsia" w:ascii="宋体" w:hAnsi="宋体"/>
          <w:bCs/>
          <w:sz w:val="24"/>
        </w:rPr>
        <w:t>是，抽查比例：</w:t>
      </w:r>
      <w:r>
        <w:rPr>
          <w:rFonts w:ascii="Wingdings" w:hAnsi="Wingdings" w:eastAsia="Wingdings" w:cs="Wingdings"/>
          <w:sz w:val="24"/>
        </w:rPr>
        <w:t></w:t>
      </w:r>
      <w:r>
        <w:rPr>
          <w:rFonts w:hint="eastAsia" w:ascii="宋体" w:hAnsi="宋体"/>
          <w:bCs/>
          <w:sz w:val="24"/>
        </w:rPr>
        <w:t>否</w:t>
      </w:r>
    </w:p>
    <w:p w14:paraId="24DEB2C2">
      <w:pPr>
        <w:pageBreakBefore w:val="0"/>
        <w:spacing w:line="420" w:lineRule="exact"/>
        <w:ind w:firstLine="960"/>
        <w:rPr>
          <w:rFonts w:ascii="宋体" w:hAnsi="宋体"/>
          <w:bCs/>
          <w:sz w:val="24"/>
          <w:u w:val="single"/>
        </w:rPr>
      </w:pPr>
      <w:r>
        <w:rPr>
          <w:rFonts w:hint="eastAsia" w:ascii="宋体" w:hAnsi="宋体"/>
          <w:bCs/>
          <w:sz w:val="24"/>
        </w:rPr>
        <w:t>是否存在破坏性检测：</w:t>
      </w:r>
      <w:r>
        <w:rPr>
          <w:rFonts w:ascii="Wingdings" w:hAnsi="Wingdings" w:eastAsia="Wingdings" w:cs="Wingdings"/>
          <w:sz w:val="24"/>
        </w:rPr>
        <w:t></w:t>
      </w:r>
      <w:r>
        <w:rPr>
          <w:rFonts w:hint="eastAsia" w:ascii="宋体" w:hAnsi="宋体"/>
          <w:bCs/>
          <w:sz w:val="24"/>
        </w:rPr>
        <w:t>是，</w:t>
      </w:r>
      <w:r>
        <w:rPr>
          <w:rFonts w:hint="eastAsia" w:ascii="宋体" w:hAnsi="宋体"/>
          <w:bCs/>
          <w:sz w:val="24"/>
          <w:u w:val="single"/>
        </w:rPr>
        <w:t>（应明确对被破坏的检测产品的处理方式）</w:t>
      </w:r>
    </w:p>
    <w:p w14:paraId="21BB5E11">
      <w:pPr>
        <w:pageBreakBefore w:val="0"/>
        <w:spacing w:line="420" w:lineRule="exact"/>
        <w:ind w:firstLine="960"/>
        <w:rPr>
          <w:rFonts w:ascii="宋体" w:hAnsi="宋体"/>
          <w:bCs/>
          <w:sz w:val="24"/>
        </w:rPr>
      </w:pPr>
      <w:r>
        <w:rPr>
          <w:rFonts w:ascii="Wingdings" w:hAnsi="Wingdings" w:eastAsia="Wingdings" w:cs="Wingdings"/>
          <w:sz w:val="24"/>
        </w:rPr>
        <w:t></w:t>
      </w:r>
      <w:r>
        <w:rPr>
          <w:rFonts w:hint="eastAsia" w:ascii="宋体" w:hAnsi="宋体"/>
          <w:bCs/>
          <w:sz w:val="24"/>
        </w:rPr>
        <w:t>否</w:t>
      </w:r>
    </w:p>
    <w:p w14:paraId="5CCFA66D">
      <w:pPr>
        <w:pageBreakBefore w:val="0"/>
        <w:spacing w:line="420" w:lineRule="exact"/>
        <w:ind w:firstLine="960"/>
        <w:rPr>
          <w:rFonts w:ascii="宋体" w:hAnsi="宋体"/>
          <w:bCs/>
          <w:sz w:val="24"/>
          <w:u w:val="single"/>
        </w:rPr>
      </w:pPr>
      <w:r>
        <w:rPr>
          <w:rFonts w:hint="eastAsia" w:ascii="宋体" w:hAnsi="宋体"/>
          <w:bCs/>
          <w:sz w:val="24"/>
        </w:rPr>
        <w:t>验收组织的其他事项：</w:t>
      </w:r>
    </w:p>
    <w:p w14:paraId="67339921">
      <w:pPr>
        <w:pageBreakBefore w:val="0"/>
        <w:spacing w:line="420" w:lineRule="exact"/>
        <w:ind w:firstLine="480"/>
        <w:rPr>
          <w:rFonts w:ascii="宋体" w:hAnsi="宋体"/>
          <w:bCs/>
          <w:sz w:val="24"/>
          <w:u w:val="single"/>
        </w:rPr>
      </w:pPr>
      <w:r>
        <w:rPr>
          <w:rFonts w:hint="eastAsia" w:ascii="宋体" w:hAnsi="宋体"/>
          <w:bCs/>
          <w:sz w:val="24"/>
        </w:rPr>
        <w:t>（2）履约验收时间：</w:t>
      </w:r>
      <w:r>
        <w:rPr>
          <w:rFonts w:hint="eastAsia" w:ascii="宋体" w:hAnsi="宋体"/>
          <w:bCs/>
          <w:sz w:val="24"/>
          <w:u w:val="single"/>
        </w:rPr>
        <w:t>（计划于何时验收/供应商提出验收申请之日起   日内组织验收）</w:t>
      </w:r>
    </w:p>
    <w:p w14:paraId="4585CE79">
      <w:pPr>
        <w:pageBreakBefore w:val="0"/>
        <w:spacing w:line="420" w:lineRule="exact"/>
        <w:ind w:firstLine="480"/>
        <w:rPr>
          <w:rFonts w:ascii="宋体" w:hAnsi="宋体"/>
          <w:bCs/>
          <w:sz w:val="24"/>
        </w:rPr>
      </w:pPr>
      <w:r>
        <w:rPr>
          <w:rFonts w:hint="eastAsia" w:ascii="宋体" w:hAnsi="宋体"/>
          <w:bCs/>
          <w:sz w:val="24"/>
        </w:rPr>
        <w:t>（3）履约验收方式：</w:t>
      </w:r>
      <w:r>
        <w:rPr>
          <w:rFonts w:ascii="Wingdings" w:hAnsi="Wingdings" w:eastAsia="Wingdings" w:cs="Wingdings"/>
          <w:sz w:val="24"/>
        </w:rPr>
        <w:t></w:t>
      </w:r>
      <w:r>
        <w:rPr>
          <w:rFonts w:hint="eastAsia" w:ascii="宋体" w:hAnsi="宋体"/>
          <w:bCs/>
          <w:sz w:val="24"/>
        </w:rPr>
        <w:t xml:space="preserve">一次性验收         </w:t>
      </w:r>
    </w:p>
    <w:p w14:paraId="3E4DB6D1">
      <w:pPr>
        <w:pageBreakBefore w:val="0"/>
        <w:spacing w:line="420" w:lineRule="exact"/>
        <w:rPr>
          <w:rFonts w:ascii="宋体" w:hAnsi="宋体"/>
          <w:bCs/>
          <w:sz w:val="24"/>
        </w:rPr>
      </w:pPr>
      <w:r>
        <w:rPr>
          <w:rFonts w:ascii="Wingdings" w:hAnsi="Wingdings" w:eastAsia="Wingdings" w:cs="Wingdings"/>
          <w:sz w:val="24"/>
        </w:rPr>
        <w:t></w:t>
      </w:r>
      <w:r>
        <w:rPr>
          <w:rFonts w:hint="eastAsia" w:ascii="宋体" w:hAnsi="宋体"/>
          <w:bCs/>
          <w:sz w:val="24"/>
        </w:rPr>
        <w:t>分期/分项验收：</w:t>
      </w:r>
      <w:r>
        <w:rPr>
          <w:rFonts w:hint="eastAsia" w:ascii="宋体" w:hAnsi="宋体"/>
          <w:bCs/>
          <w:sz w:val="24"/>
          <w:u w:val="single"/>
        </w:rPr>
        <w:t>（应明确分期</w:t>
      </w:r>
      <w:r>
        <w:rPr>
          <w:rFonts w:ascii="宋体" w:hAnsi="宋体"/>
          <w:bCs/>
          <w:sz w:val="24"/>
          <w:u w:val="single"/>
        </w:rPr>
        <w:t>/</w:t>
      </w:r>
      <w:r>
        <w:rPr>
          <w:rFonts w:hint="eastAsia" w:ascii="宋体" w:hAnsi="宋体"/>
          <w:bCs/>
          <w:sz w:val="24"/>
          <w:u w:val="single"/>
        </w:rPr>
        <w:t>分项验收的工作安排）</w:t>
      </w:r>
    </w:p>
    <w:p w14:paraId="379FAF68">
      <w:pPr>
        <w:pageBreakBefore w:val="0"/>
        <w:spacing w:line="420" w:lineRule="exact"/>
        <w:ind w:firstLine="480"/>
        <w:rPr>
          <w:rFonts w:ascii="宋体" w:hAnsi="宋体"/>
          <w:bCs/>
          <w:sz w:val="24"/>
        </w:rPr>
      </w:pPr>
      <w:r>
        <w:rPr>
          <w:rFonts w:hint="eastAsia" w:ascii="宋体" w:hAnsi="宋体"/>
          <w:bCs/>
          <w:sz w:val="24"/>
        </w:rPr>
        <w:t>（4）履约验收程序：</w:t>
      </w:r>
    </w:p>
    <w:p w14:paraId="5200FEC8">
      <w:pPr>
        <w:pageBreakBefore w:val="0"/>
        <w:spacing w:line="420" w:lineRule="exact"/>
        <w:ind w:firstLine="480"/>
        <w:rPr>
          <w:rFonts w:ascii="宋体" w:hAnsi="宋体"/>
          <w:bCs/>
          <w:sz w:val="24"/>
          <w:u w:val="single"/>
        </w:rPr>
      </w:pPr>
      <w:r>
        <w:rPr>
          <w:rFonts w:hint="eastAsia" w:ascii="宋体" w:hAnsi="宋体"/>
          <w:bCs/>
          <w:sz w:val="24"/>
        </w:rPr>
        <w:t>（5）履约验收的内容：</w:t>
      </w:r>
      <w:r>
        <w:rPr>
          <w:rFonts w:hint="eastAsia" w:ascii="宋体" w:hAnsi="宋体"/>
          <w:bCs/>
          <w:sz w:val="24"/>
          <w:u w:val="single"/>
        </w:rPr>
        <w:t>（应当包括每一项技术和商务要求的履约情况，特别是落实政府采购扶持中小企业，支持绿色发展和乡村振兴等政策情况）</w:t>
      </w:r>
    </w:p>
    <w:p w14:paraId="49CCA321">
      <w:pPr>
        <w:pageBreakBefore w:val="0"/>
        <w:spacing w:line="420" w:lineRule="exact"/>
        <w:ind w:firstLine="480"/>
        <w:rPr>
          <w:rFonts w:ascii="宋体" w:hAnsi="宋体"/>
          <w:bCs/>
          <w:sz w:val="24"/>
          <w:u w:val="single"/>
        </w:rPr>
      </w:pPr>
      <w:r>
        <w:rPr>
          <w:rFonts w:hint="eastAsia" w:ascii="宋体" w:hAnsi="宋体"/>
          <w:bCs/>
          <w:sz w:val="24"/>
        </w:rPr>
        <w:t>（6）履约验收标准：</w:t>
      </w:r>
    </w:p>
    <w:p w14:paraId="41BFC6F5">
      <w:pPr>
        <w:pageBreakBefore w:val="0"/>
        <w:widowControl/>
        <w:spacing w:line="420" w:lineRule="exact"/>
        <w:ind w:firstLine="480"/>
        <w:jc w:val="left"/>
        <w:rPr>
          <w:rFonts w:ascii="宋体" w:hAnsi="宋体" w:cs="宋体"/>
          <w:sz w:val="24"/>
        </w:rPr>
      </w:pPr>
      <w:r>
        <w:rPr>
          <w:rFonts w:hint="eastAsia" w:ascii="宋体" w:hAnsi="宋体" w:cs="宋体"/>
          <w:bCs/>
          <w:sz w:val="24"/>
        </w:rPr>
        <w:t>（7）是否以采购活动中供应商提供的样品作为参考：</w:t>
      </w:r>
      <w:r>
        <w:rPr>
          <w:rFonts w:ascii="Wingdings" w:hAnsi="Wingdings" w:eastAsia="Wingdings" w:cs="Wingdings"/>
          <w:sz w:val="24"/>
        </w:rPr>
        <w:t></w:t>
      </w:r>
      <w:r>
        <w:rPr>
          <w:rFonts w:hint="eastAsia" w:ascii="宋体" w:hAnsi="宋体" w:cs="宋体"/>
          <w:bCs/>
          <w:sz w:val="24"/>
        </w:rPr>
        <w:t xml:space="preserve">是  </w:t>
      </w:r>
      <w:r>
        <w:rPr>
          <w:rFonts w:ascii="Wingdings" w:hAnsi="Wingdings" w:eastAsia="Wingdings" w:cs="Wingdings"/>
          <w:sz w:val="24"/>
        </w:rPr>
        <w:t></w:t>
      </w:r>
      <w:r>
        <w:rPr>
          <w:rFonts w:hint="eastAsia" w:ascii="宋体" w:hAnsi="宋体" w:cs="宋体"/>
          <w:bCs/>
          <w:sz w:val="24"/>
        </w:rPr>
        <w:t>否</w:t>
      </w:r>
    </w:p>
    <w:p w14:paraId="79B64DCE">
      <w:pPr>
        <w:pageBreakBefore w:val="0"/>
        <w:spacing w:line="420" w:lineRule="exact"/>
        <w:ind w:firstLine="480"/>
        <w:rPr>
          <w:rFonts w:ascii="宋体" w:hAnsi="宋体" w:cs="宋体"/>
          <w:bCs/>
          <w:sz w:val="24"/>
          <w:u w:val="single"/>
        </w:rPr>
      </w:pPr>
      <w:r>
        <w:rPr>
          <w:rFonts w:hint="eastAsia" w:ascii="宋体" w:hAnsi="宋体" w:cs="宋体"/>
          <w:bCs/>
          <w:sz w:val="24"/>
        </w:rPr>
        <w:t>（8）履约验收其他事项：</w:t>
      </w:r>
      <w:r>
        <w:rPr>
          <w:rFonts w:hint="eastAsia" w:ascii="宋体" w:hAnsi="宋体" w:cs="宋体"/>
          <w:bCs/>
          <w:sz w:val="24"/>
          <w:u w:val="single"/>
        </w:rPr>
        <w:t>（产权过户登记等）</w:t>
      </w:r>
    </w:p>
    <w:p w14:paraId="3B21AE18">
      <w:pPr>
        <w:pageBreakBefore w:val="0"/>
        <w:numPr>
          <w:ilvl w:val="0"/>
          <w:numId w:val="1"/>
        </w:numPr>
        <w:spacing w:line="420" w:lineRule="exact"/>
        <w:ind w:firstLine="482"/>
        <w:rPr>
          <w:rFonts w:ascii="宋体" w:hAnsi="宋体"/>
          <w:b/>
          <w:sz w:val="24"/>
        </w:rPr>
      </w:pPr>
      <w:r>
        <w:rPr>
          <w:rFonts w:hint="eastAsia" w:ascii="宋体" w:hAnsi="宋体"/>
          <w:b/>
          <w:sz w:val="24"/>
        </w:rPr>
        <w:t>组成合同的文件</w:t>
      </w:r>
    </w:p>
    <w:p w14:paraId="7A9EF121">
      <w:pPr>
        <w:pageBreakBefore w:val="0"/>
        <w:spacing w:line="420" w:lineRule="exact"/>
        <w:ind w:firstLine="480"/>
        <w:rPr>
          <w:rFonts w:ascii="宋体" w:hAnsi="宋体"/>
          <w:sz w:val="24"/>
        </w:rPr>
      </w:pPr>
      <w:r>
        <w:rPr>
          <w:rFonts w:hint="eastAsia" w:ascii="宋体" w:hAnsi="宋体"/>
          <w:sz w:val="24"/>
        </w:rPr>
        <w:t>本协议书与下列文件一起构成合同文件，如下述文件之间有任何抵触、矛盾或歧义，应按以下顺序解释：</w:t>
      </w:r>
    </w:p>
    <w:p w14:paraId="60A9005D">
      <w:pPr>
        <w:pageBreakBefore w:val="0"/>
        <w:spacing w:line="420" w:lineRule="exact"/>
        <w:rPr>
          <w:rFonts w:ascii="宋体" w:hAnsi="宋体"/>
          <w:sz w:val="24"/>
        </w:rPr>
      </w:pPr>
      <w:r>
        <w:rPr>
          <w:rFonts w:hint="eastAsia" w:ascii="宋体" w:hAnsi="宋体"/>
          <w:sz w:val="24"/>
        </w:rPr>
        <w:t>（1）政府采购合同协议书及其变更、补充协议</w:t>
      </w:r>
    </w:p>
    <w:p w14:paraId="1D5B8AD4">
      <w:pPr>
        <w:pageBreakBefore w:val="0"/>
        <w:spacing w:line="420" w:lineRule="exact"/>
        <w:rPr>
          <w:rFonts w:ascii="宋体" w:hAnsi="宋体"/>
          <w:sz w:val="24"/>
        </w:rPr>
      </w:pPr>
      <w:r>
        <w:rPr>
          <w:rFonts w:hint="eastAsia" w:ascii="宋体" w:hAnsi="宋体"/>
          <w:sz w:val="24"/>
        </w:rPr>
        <w:t>（2）政府采购合同专用条款</w:t>
      </w:r>
    </w:p>
    <w:p w14:paraId="55BB47AA">
      <w:pPr>
        <w:pageBreakBefore w:val="0"/>
        <w:spacing w:line="420" w:lineRule="exact"/>
        <w:rPr>
          <w:rFonts w:ascii="宋体" w:hAnsi="宋体"/>
          <w:sz w:val="24"/>
        </w:rPr>
      </w:pPr>
      <w:r>
        <w:rPr>
          <w:rFonts w:hint="eastAsia" w:ascii="宋体" w:hAnsi="宋体"/>
          <w:sz w:val="24"/>
        </w:rPr>
        <w:t>（3）政府采购合同通用条款</w:t>
      </w:r>
    </w:p>
    <w:p w14:paraId="289EBF00">
      <w:pPr>
        <w:pageBreakBefore w:val="0"/>
        <w:spacing w:line="420" w:lineRule="exact"/>
        <w:rPr>
          <w:rFonts w:ascii="宋体" w:hAnsi="宋体"/>
          <w:sz w:val="24"/>
        </w:rPr>
      </w:pPr>
      <w:r>
        <w:rPr>
          <w:rFonts w:hint="eastAsia" w:ascii="宋体" w:hAnsi="宋体"/>
          <w:sz w:val="24"/>
        </w:rPr>
        <w:t>（4）中标（成交）通知书</w:t>
      </w:r>
    </w:p>
    <w:p w14:paraId="1A00CF02">
      <w:pPr>
        <w:pageBreakBefore w:val="0"/>
        <w:spacing w:line="420" w:lineRule="exact"/>
        <w:rPr>
          <w:rFonts w:ascii="宋体" w:hAnsi="宋体"/>
          <w:sz w:val="24"/>
        </w:rPr>
      </w:pPr>
      <w:r>
        <w:rPr>
          <w:rFonts w:hint="eastAsia" w:ascii="宋体" w:hAnsi="宋体"/>
          <w:sz w:val="24"/>
        </w:rPr>
        <w:t>（5）投标（响应）文件</w:t>
      </w:r>
    </w:p>
    <w:p w14:paraId="57E10C15">
      <w:pPr>
        <w:pageBreakBefore w:val="0"/>
        <w:spacing w:line="420" w:lineRule="exact"/>
        <w:rPr>
          <w:rFonts w:ascii="宋体" w:hAnsi="宋体"/>
          <w:sz w:val="24"/>
        </w:rPr>
      </w:pPr>
      <w:r>
        <w:rPr>
          <w:rFonts w:hint="eastAsia" w:ascii="宋体" w:hAnsi="宋体"/>
          <w:sz w:val="24"/>
        </w:rPr>
        <w:t>（6）</w:t>
      </w:r>
      <w:r>
        <w:rPr>
          <w:rFonts w:hint="eastAsia" w:ascii="仿宋" w:hAnsi="仿宋" w:eastAsia="仿宋" w:cs="仿宋"/>
          <w:color w:val="333333"/>
          <w:sz w:val="28"/>
          <w:szCs w:val="28"/>
          <w:shd w:val="clear" w:color="auto" w:fill="FFFFFF"/>
        </w:rPr>
        <w:t>询价</w:t>
      </w:r>
      <w:r>
        <w:rPr>
          <w:rFonts w:hint="eastAsia" w:ascii="宋体" w:hAnsi="宋体"/>
          <w:sz w:val="24"/>
        </w:rPr>
        <w:t>文件</w:t>
      </w:r>
    </w:p>
    <w:p w14:paraId="478DE4C5">
      <w:pPr>
        <w:pageBreakBefore w:val="0"/>
        <w:spacing w:line="420" w:lineRule="exact"/>
        <w:rPr>
          <w:rFonts w:ascii="宋体" w:hAnsi="宋体"/>
          <w:sz w:val="24"/>
        </w:rPr>
      </w:pPr>
      <w:r>
        <w:rPr>
          <w:rFonts w:hint="eastAsia" w:ascii="宋体" w:hAnsi="宋体"/>
          <w:sz w:val="24"/>
        </w:rPr>
        <w:t>（</w:t>
      </w:r>
      <w:r>
        <w:rPr>
          <w:rFonts w:hint="eastAsia" w:ascii="宋体" w:hAnsi="宋体"/>
          <w:sz w:val="24"/>
          <w:lang w:val="en-US" w:eastAsia="zh-CN"/>
        </w:rPr>
        <w:t>7</w:t>
      </w:r>
      <w:r>
        <w:rPr>
          <w:rFonts w:hint="eastAsia" w:ascii="宋体" w:hAnsi="宋体"/>
          <w:sz w:val="24"/>
        </w:rPr>
        <w:t>）国家法律、行政法规和规章制度规定或合同约定的作为合同组成部分的其他文件</w:t>
      </w:r>
    </w:p>
    <w:p w14:paraId="3FDD9904">
      <w:pPr>
        <w:pageBreakBefore w:val="0"/>
        <w:spacing w:line="420" w:lineRule="exact"/>
        <w:ind w:left="422"/>
        <w:rPr>
          <w:rFonts w:ascii="宋体" w:hAnsi="宋体"/>
          <w:b/>
          <w:szCs w:val="21"/>
        </w:rPr>
      </w:pPr>
      <w:r>
        <w:rPr>
          <w:rFonts w:hint="eastAsia" w:ascii="宋体" w:hAnsi="宋体"/>
          <w:b/>
          <w:szCs w:val="21"/>
        </w:rPr>
        <w:t>6.</w:t>
      </w:r>
      <w:r>
        <w:rPr>
          <w:rFonts w:hint="eastAsia" w:ascii="宋体" w:hAnsi="宋体"/>
          <w:b/>
          <w:sz w:val="24"/>
        </w:rPr>
        <w:t>合同生效</w:t>
      </w:r>
    </w:p>
    <w:p w14:paraId="6FADEB1C">
      <w:pPr>
        <w:pageBreakBefore w:val="0"/>
        <w:spacing w:line="420" w:lineRule="exact"/>
        <w:ind w:firstLine="480"/>
        <w:rPr>
          <w:rFonts w:ascii="宋体" w:hAnsi="宋体"/>
          <w:sz w:val="24"/>
        </w:rPr>
      </w:pPr>
      <w:r>
        <w:rPr>
          <w:rFonts w:hint="eastAsia" w:ascii="宋体" w:hAnsi="宋体"/>
          <w:sz w:val="24"/>
        </w:rPr>
        <w:t>本合同自</w:t>
      </w:r>
      <w:r>
        <w:rPr>
          <w:rFonts w:hint="eastAsia" w:ascii="宋体" w:hAnsi="宋体"/>
          <w:sz w:val="24"/>
          <w:u w:val="single"/>
        </w:rPr>
        <w:t xml:space="preserve">   </w:t>
      </w:r>
      <w:r>
        <w:rPr>
          <w:rFonts w:hint="eastAsia" w:ascii="宋体" w:hAnsi="宋体"/>
          <w:sz w:val="24"/>
        </w:rPr>
        <w:t>年</w:t>
      </w:r>
      <w:r>
        <w:rPr>
          <w:rFonts w:hint="eastAsia" w:ascii="宋体" w:hAnsi="宋体"/>
          <w:sz w:val="24"/>
          <w:u w:val="single"/>
        </w:rPr>
        <w:t xml:space="preserve">   </w:t>
      </w:r>
      <w:r>
        <w:rPr>
          <w:rFonts w:hint="eastAsia" w:ascii="宋体" w:hAnsi="宋体"/>
          <w:sz w:val="24"/>
        </w:rPr>
        <w:t>月</w:t>
      </w:r>
      <w:r>
        <w:rPr>
          <w:rFonts w:hint="eastAsia" w:ascii="宋体" w:hAnsi="宋体"/>
          <w:sz w:val="24"/>
          <w:u w:val="single"/>
        </w:rPr>
        <w:t xml:space="preserve">   </w:t>
      </w:r>
      <w:r>
        <w:rPr>
          <w:rFonts w:hint="eastAsia" w:ascii="宋体" w:hAnsi="宋体"/>
          <w:sz w:val="24"/>
        </w:rPr>
        <w:t>日生效。</w:t>
      </w:r>
    </w:p>
    <w:p w14:paraId="49FA5485">
      <w:pPr>
        <w:pageBreakBefore w:val="0"/>
        <w:spacing w:line="420" w:lineRule="exact"/>
        <w:ind w:left="482"/>
        <w:rPr>
          <w:rFonts w:ascii="宋体" w:hAnsi="宋体"/>
          <w:b/>
          <w:sz w:val="24"/>
        </w:rPr>
      </w:pPr>
      <w:r>
        <w:rPr>
          <w:rFonts w:hint="eastAsia" w:ascii="宋体" w:hAnsi="宋体"/>
          <w:b/>
          <w:sz w:val="24"/>
        </w:rPr>
        <w:t>7.合同份数</w:t>
      </w:r>
    </w:p>
    <w:p w14:paraId="3671B750">
      <w:pPr>
        <w:pageBreakBefore w:val="0"/>
        <w:spacing w:line="420" w:lineRule="exact"/>
        <w:ind w:firstLine="420"/>
        <w:rPr>
          <w:rFonts w:ascii="宋体" w:hAnsi="宋体"/>
          <w:szCs w:val="21"/>
        </w:rPr>
      </w:pPr>
      <w:r>
        <w:rPr>
          <w:rFonts w:hint="eastAsia" w:ascii="宋体" w:hAnsi="宋体"/>
          <w:szCs w:val="21"/>
        </w:rPr>
        <w:t>本合同一式</w:t>
      </w:r>
      <w:r>
        <w:rPr>
          <w:rFonts w:hint="eastAsia" w:ascii="宋体" w:hAnsi="宋体"/>
          <w:szCs w:val="21"/>
          <w:u w:val="single"/>
        </w:rPr>
        <w:t xml:space="preserve">    </w:t>
      </w:r>
      <w:r>
        <w:rPr>
          <w:rFonts w:hint="eastAsia" w:ascii="宋体" w:hAnsi="宋体"/>
          <w:szCs w:val="21"/>
        </w:rPr>
        <w:t>份，甲方执</w:t>
      </w:r>
      <w:r>
        <w:rPr>
          <w:rFonts w:hint="eastAsia" w:ascii="宋体" w:hAnsi="宋体"/>
          <w:szCs w:val="21"/>
          <w:u w:val="single"/>
        </w:rPr>
        <w:t xml:space="preserve">    </w:t>
      </w:r>
      <w:r>
        <w:rPr>
          <w:rFonts w:hint="eastAsia" w:ascii="宋体" w:hAnsi="宋体"/>
          <w:szCs w:val="21"/>
        </w:rPr>
        <w:t>份，乙方执</w:t>
      </w:r>
      <w:r>
        <w:rPr>
          <w:rFonts w:hint="eastAsia" w:ascii="宋体" w:hAnsi="宋体"/>
          <w:szCs w:val="21"/>
          <w:u w:val="single"/>
        </w:rPr>
        <w:t xml:space="preserve">    </w:t>
      </w:r>
      <w:r>
        <w:rPr>
          <w:rFonts w:hint="eastAsia" w:ascii="宋体" w:hAnsi="宋体"/>
          <w:szCs w:val="21"/>
        </w:rPr>
        <w:t>份，均具有同等法律效力。</w:t>
      </w:r>
    </w:p>
    <w:p w14:paraId="3B3BEE3D">
      <w:pPr>
        <w:pageBreakBefore w:val="0"/>
        <w:spacing w:line="420" w:lineRule="exact"/>
        <w:ind w:firstLine="420"/>
        <w:rPr>
          <w:rFonts w:ascii="宋体" w:hAnsi="宋体"/>
          <w:szCs w:val="21"/>
        </w:rPr>
      </w:pPr>
      <w:r>
        <w:rPr>
          <w:rFonts w:hint="eastAsia" w:ascii="宋体" w:hAnsi="宋体"/>
          <w:szCs w:val="21"/>
        </w:rPr>
        <w:t>合同订立时间：</w:t>
      </w:r>
      <w:r>
        <w:rPr>
          <w:rFonts w:hint="eastAsia" w:ascii="宋体" w:hAnsi="宋体"/>
          <w:szCs w:val="21"/>
          <w:u w:val="single"/>
        </w:rPr>
        <w:t xml:space="preserve">         </w:t>
      </w:r>
      <w:r>
        <w:rPr>
          <w:rFonts w:hint="eastAsia" w:ascii="宋体" w:hAnsi="宋体"/>
          <w:szCs w:val="21"/>
        </w:rPr>
        <w:t>年</w:t>
      </w:r>
      <w:r>
        <w:rPr>
          <w:rFonts w:hint="eastAsia" w:ascii="宋体" w:hAnsi="宋体"/>
          <w:szCs w:val="21"/>
          <w:u w:val="single"/>
        </w:rPr>
        <w:t xml:space="preserve">      </w:t>
      </w:r>
      <w:r>
        <w:rPr>
          <w:rFonts w:hint="eastAsia" w:ascii="宋体" w:hAnsi="宋体"/>
          <w:szCs w:val="21"/>
        </w:rPr>
        <w:t>月</w:t>
      </w:r>
      <w:r>
        <w:rPr>
          <w:rFonts w:hint="eastAsia" w:ascii="宋体" w:hAnsi="宋体"/>
          <w:szCs w:val="21"/>
          <w:u w:val="single"/>
        </w:rPr>
        <w:t xml:space="preserve">      </w:t>
      </w:r>
      <w:r>
        <w:rPr>
          <w:rFonts w:hint="eastAsia" w:ascii="宋体" w:hAnsi="宋体"/>
          <w:szCs w:val="21"/>
        </w:rPr>
        <w:t>日</w:t>
      </w:r>
    </w:p>
    <w:p w14:paraId="2851C210">
      <w:pPr>
        <w:pageBreakBefore w:val="0"/>
        <w:spacing w:line="420" w:lineRule="exact"/>
        <w:ind w:firstLine="420"/>
        <w:rPr>
          <w:rFonts w:ascii="宋体" w:hAnsi="宋体"/>
          <w:szCs w:val="21"/>
        </w:rPr>
      </w:pPr>
      <w:r>
        <w:rPr>
          <w:rFonts w:hint="eastAsia" w:ascii="宋体" w:hAnsi="宋体"/>
          <w:szCs w:val="21"/>
        </w:rPr>
        <w:t>合同订立地点：</w:t>
      </w:r>
      <w:r>
        <w:rPr>
          <w:rFonts w:hint="eastAsia" w:ascii="宋体" w:hAnsi="宋体"/>
          <w:szCs w:val="21"/>
          <w:u w:val="single"/>
        </w:rPr>
        <w:t xml:space="preserve">                           </w:t>
      </w:r>
    </w:p>
    <w:p w14:paraId="584E323B">
      <w:pPr>
        <w:pageBreakBefore w:val="0"/>
        <w:spacing w:line="420" w:lineRule="exact"/>
        <w:ind w:firstLine="420"/>
      </w:pPr>
      <w:r>
        <w:rPr>
          <w:rFonts w:hint="eastAsia" w:ascii="宋体" w:hAnsi="宋体"/>
          <w:szCs w:val="21"/>
        </w:rPr>
        <w:t>附件：具体标的及其技术要求和商务要求、联合协议、分包意向协议等。</w:t>
      </w:r>
    </w:p>
    <w:p w14:paraId="3F1EF992">
      <w:pPr>
        <w:pageBreakBefore w:val="0"/>
        <w:spacing w:line="420" w:lineRule="exact"/>
        <w:ind w:firstLine="480"/>
        <w:rPr>
          <w:rFonts w:ascii="宋体" w:hAnsi="宋体"/>
          <w:sz w:val="24"/>
        </w:rPr>
      </w:pPr>
    </w:p>
    <w:p w14:paraId="4A2BCC1F">
      <w:pPr>
        <w:pageBreakBefore w:val="0"/>
        <w:spacing w:line="420" w:lineRule="exact"/>
        <w:rPr>
          <w:rFonts w:ascii="宋体" w:hAnsi="宋体"/>
          <w:sz w:val="24"/>
        </w:rPr>
      </w:pPr>
    </w:p>
    <w:p w14:paraId="0BA69486">
      <w:pPr>
        <w:pageBreakBefore w:val="0"/>
        <w:spacing w:line="420" w:lineRule="exact"/>
        <w:ind w:firstLine="480"/>
        <w:jc w:val="left"/>
        <w:rPr>
          <w:rFonts w:ascii="宋体" w:hAnsi="宋体"/>
          <w:sz w:val="24"/>
          <w:u w:val="single"/>
        </w:rPr>
      </w:pPr>
      <w:r>
        <w:rPr>
          <w:rFonts w:hint="eastAsia"/>
          <w:sz w:val="24"/>
        </w:rPr>
        <w:br w:type="page" w:clear="all"/>
      </w:r>
    </w:p>
    <w:p w14:paraId="061A4F4F">
      <w:pPr>
        <w:pageBreakBefore w:val="0"/>
        <w:spacing w:line="420" w:lineRule="exact"/>
        <w:ind w:firstLine="420"/>
        <w:rPr>
          <w:szCs w:val="21"/>
        </w:rPr>
      </w:pPr>
    </w:p>
    <w:tbl>
      <w:tblPr>
        <w:tblStyle w:val="31"/>
        <w:tblW w:w="4927" w:type="pct"/>
        <w:tblInd w:w="0" w:type="dxa"/>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Layout w:type="autofit"/>
        <w:tblCellMar>
          <w:top w:w="0" w:type="dxa"/>
          <w:left w:w="108" w:type="dxa"/>
          <w:bottom w:w="0" w:type="dxa"/>
          <w:right w:w="108" w:type="dxa"/>
        </w:tblCellMar>
      </w:tblPr>
      <w:tblGrid>
        <w:gridCol w:w="2021"/>
        <w:gridCol w:w="2494"/>
        <w:gridCol w:w="2111"/>
        <w:gridCol w:w="2192"/>
      </w:tblGrid>
      <w:tr w14:paraId="69ABDC88">
        <w:tblPrEx>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CellMar>
            <w:top w:w="0" w:type="dxa"/>
            <w:left w:w="108" w:type="dxa"/>
            <w:bottom w:w="0" w:type="dxa"/>
            <w:right w:w="108" w:type="dxa"/>
          </w:tblCellMar>
        </w:tblPrEx>
        <w:trPr>
          <w:trHeight w:val="490" w:hRule="atLeast"/>
        </w:trPr>
        <w:tc>
          <w:tcPr>
            <w:tcW w:w="5031" w:type="dxa"/>
            <w:gridSpan w:val="2"/>
            <w:tcBorders>
              <w:bottom w:val="single" w:color="000000" w:sz="2" w:space="0"/>
              <w:right w:val="single" w:color="000000" w:sz="2" w:space="0"/>
            </w:tcBorders>
            <w:noWrap w:val="0"/>
            <w:vAlign w:val="center"/>
          </w:tcPr>
          <w:p w14:paraId="1C4D0B40">
            <w:pPr>
              <w:pageBreakBefore w:val="0"/>
              <w:spacing w:line="420" w:lineRule="exact"/>
              <w:jc w:val="center"/>
              <w:rPr>
                <w:sz w:val="24"/>
              </w:rPr>
            </w:pPr>
            <w:r>
              <w:rPr>
                <w:sz w:val="24"/>
              </w:rPr>
              <w:t>甲方</w:t>
            </w:r>
            <w:r>
              <w:rPr>
                <w:rFonts w:hint="eastAsia"/>
                <w:sz w:val="24"/>
              </w:rPr>
              <w:t>（采购人</w:t>
            </w:r>
            <w:r>
              <w:rPr>
                <w:rFonts w:hint="eastAsia" w:ascii="宋体" w:hAnsi="宋体"/>
                <w:sz w:val="24"/>
              </w:rPr>
              <w:t>、受采购人委托签订合同的单位或</w:t>
            </w:r>
            <w:r>
              <w:rPr>
                <w:rFonts w:hint="eastAsia" w:ascii="仿宋" w:hAnsi="仿宋" w:eastAsia="仿宋" w:cs="仿宋"/>
                <w:color w:val="333333"/>
                <w:sz w:val="28"/>
                <w:szCs w:val="28"/>
                <w:shd w:val="clear" w:color="auto" w:fill="FFFFFF"/>
              </w:rPr>
              <w:t>询价</w:t>
            </w:r>
            <w:r>
              <w:rPr>
                <w:rFonts w:hint="eastAsia"/>
                <w:sz w:val="24"/>
              </w:rPr>
              <w:t>文件约定的合同甲方）</w:t>
            </w:r>
          </w:p>
        </w:tc>
        <w:tc>
          <w:tcPr>
            <w:tcW w:w="4789" w:type="dxa"/>
            <w:gridSpan w:val="2"/>
            <w:tcBorders>
              <w:left w:val="single" w:color="000000" w:sz="2" w:space="0"/>
              <w:bottom w:val="single" w:color="000000" w:sz="2" w:space="0"/>
            </w:tcBorders>
            <w:noWrap w:val="0"/>
            <w:vAlign w:val="center"/>
          </w:tcPr>
          <w:p w14:paraId="731278F1">
            <w:pPr>
              <w:pageBreakBefore w:val="0"/>
              <w:spacing w:line="420" w:lineRule="exact"/>
              <w:jc w:val="center"/>
              <w:rPr>
                <w:sz w:val="24"/>
              </w:rPr>
            </w:pPr>
            <w:r>
              <w:rPr>
                <w:sz w:val="24"/>
              </w:rPr>
              <w:t>乙方</w:t>
            </w:r>
            <w:r>
              <w:rPr>
                <w:rFonts w:hint="eastAsia"/>
                <w:sz w:val="24"/>
              </w:rPr>
              <w:t>（供应商）</w:t>
            </w:r>
          </w:p>
        </w:tc>
      </w:tr>
      <w:tr w14:paraId="27353855">
        <w:tblPrEx>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CellMar>
            <w:top w:w="0" w:type="dxa"/>
            <w:left w:w="108" w:type="dxa"/>
            <w:bottom w:w="0" w:type="dxa"/>
            <w:right w:w="108" w:type="dxa"/>
          </w:tblCellMar>
        </w:tblPrEx>
        <w:trPr>
          <w:trHeight w:val="917" w:hRule="atLeast"/>
        </w:trPr>
        <w:tc>
          <w:tcPr>
            <w:tcW w:w="2211" w:type="dxa"/>
            <w:tcBorders>
              <w:top w:val="single" w:color="000000" w:sz="2" w:space="0"/>
              <w:bottom w:val="single" w:color="000000" w:sz="2" w:space="0"/>
              <w:right w:val="single" w:color="000000" w:sz="2" w:space="0"/>
            </w:tcBorders>
            <w:noWrap w:val="0"/>
            <w:vAlign w:val="center"/>
          </w:tcPr>
          <w:p w14:paraId="1D198303">
            <w:pPr>
              <w:pageBreakBefore w:val="0"/>
              <w:spacing w:line="420" w:lineRule="exact"/>
              <w:jc w:val="center"/>
              <w:rPr>
                <w:sz w:val="24"/>
              </w:rPr>
            </w:pPr>
            <w:r>
              <w:rPr>
                <w:sz w:val="24"/>
              </w:rPr>
              <w:t>单位名称</w:t>
            </w:r>
            <w:r>
              <w:rPr>
                <w:rFonts w:hint="eastAsia"/>
                <w:sz w:val="24"/>
              </w:rPr>
              <w:t>（公章或合同章）</w:t>
            </w:r>
          </w:p>
        </w:tc>
        <w:tc>
          <w:tcPr>
            <w:tcW w:w="2820" w:type="dxa"/>
            <w:tcBorders>
              <w:top w:val="single" w:color="000000" w:sz="2" w:space="0"/>
              <w:left w:val="single" w:color="000000" w:sz="2" w:space="0"/>
              <w:bottom w:val="single" w:color="000000" w:sz="2" w:space="0"/>
              <w:right w:val="single" w:color="000000" w:sz="2" w:space="0"/>
            </w:tcBorders>
            <w:noWrap w:val="0"/>
            <w:vAlign w:val="center"/>
          </w:tcPr>
          <w:p w14:paraId="27C20910">
            <w:pPr>
              <w:pageBreakBefore w:val="0"/>
              <w:spacing w:line="420" w:lineRule="exact"/>
              <w:jc w:val="center"/>
              <w:rPr>
                <w:sz w:val="24"/>
              </w:rPr>
            </w:pPr>
          </w:p>
        </w:tc>
        <w:tc>
          <w:tcPr>
            <w:tcW w:w="2314" w:type="dxa"/>
            <w:tcBorders>
              <w:top w:val="single" w:color="000000" w:sz="2" w:space="0"/>
              <w:left w:val="single" w:color="000000" w:sz="2" w:space="0"/>
              <w:bottom w:val="single" w:color="000000" w:sz="2" w:space="0"/>
              <w:right w:val="single" w:color="000000" w:sz="2" w:space="0"/>
            </w:tcBorders>
            <w:noWrap w:val="0"/>
            <w:vAlign w:val="center"/>
          </w:tcPr>
          <w:p w14:paraId="740F56B4">
            <w:pPr>
              <w:pageBreakBefore w:val="0"/>
              <w:spacing w:line="420" w:lineRule="exact"/>
              <w:jc w:val="center"/>
              <w:rPr>
                <w:sz w:val="24"/>
              </w:rPr>
            </w:pPr>
            <w:r>
              <w:rPr>
                <w:sz w:val="24"/>
              </w:rPr>
              <w:t>单位名称</w:t>
            </w:r>
            <w:r>
              <w:rPr>
                <w:rFonts w:hint="eastAsia"/>
                <w:sz w:val="24"/>
              </w:rPr>
              <w:t>（公章或合同章）</w:t>
            </w:r>
          </w:p>
        </w:tc>
        <w:tc>
          <w:tcPr>
            <w:tcW w:w="2475" w:type="dxa"/>
            <w:tcBorders>
              <w:top w:val="single" w:color="000000" w:sz="2" w:space="0"/>
              <w:left w:val="single" w:color="000000" w:sz="2" w:space="0"/>
              <w:bottom w:val="single" w:color="000000" w:sz="2" w:space="0"/>
            </w:tcBorders>
            <w:noWrap w:val="0"/>
            <w:vAlign w:val="center"/>
          </w:tcPr>
          <w:p w14:paraId="08AA0206">
            <w:pPr>
              <w:pageBreakBefore w:val="0"/>
              <w:spacing w:line="420" w:lineRule="exact"/>
              <w:jc w:val="center"/>
              <w:rPr>
                <w:spacing w:val="20"/>
                <w:sz w:val="24"/>
              </w:rPr>
            </w:pPr>
          </w:p>
        </w:tc>
      </w:tr>
      <w:tr w14:paraId="0BDBD77E">
        <w:tblPrEx>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CellMar>
            <w:top w:w="0" w:type="dxa"/>
            <w:left w:w="108" w:type="dxa"/>
            <w:bottom w:w="0" w:type="dxa"/>
            <w:right w:w="108" w:type="dxa"/>
          </w:tblCellMar>
        </w:tblPrEx>
        <w:trPr>
          <w:cantSplit/>
          <w:trHeight w:val="1171" w:hRule="atLeast"/>
        </w:trPr>
        <w:tc>
          <w:tcPr>
            <w:tcW w:w="2211" w:type="dxa"/>
            <w:vMerge w:val="restart"/>
            <w:tcBorders>
              <w:top w:val="single" w:color="000000" w:sz="2" w:space="0"/>
              <w:right w:val="single" w:color="000000" w:sz="2" w:space="0"/>
            </w:tcBorders>
            <w:noWrap w:val="0"/>
            <w:vAlign w:val="center"/>
          </w:tcPr>
          <w:p w14:paraId="37F02B61">
            <w:pPr>
              <w:pageBreakBefore w:val="0"/>
              <w:spacing w:line="420" w:lineRule="exact"/>
              <w:jc w:val="center"/>
              <w:rPr>
                <w:sz w:val="24"/>
              </w:rPr>
            </w:pPr>
            <w:r>
              <w:rPr>
                <w:sz w:val="24"/>
              </w:rPr>
              <w:t>法定代表人</w:t>
            </w:r>
          </w:p>
          <w:p w14:paraId="16FABE35">
            <w:pPr>
              <w:pageBreakBefore w:val="0"/>
              <w:spacing w:line="420" w:lineRule="exact"/>
              <w:ind w:firstLine="115"/>
              <w:jc w:val="center"/>
              <w:rPr>
                <w:sz w:val="24"/>
              </w:rPr>
            </w:pPr>
            <w:r>
              <w:rPr>
                <w:rFonts w:hint="eastAsia"/>
                <w:sz w:val="24"/>
              </w:rPr>
              <w:t>或其</w:t>
            </w:r>
            <w:r>
              <w:rPr>
                <w:sz w:val="24"/>
              </w:rPr>
              <w:t>委托代理人</w:t>
            </w:r>
            <w:r>
              <w:rPr>
                <w:rFonts w:hint="eastAsia"/>
                <w:sz w:val="24"/>
              </w:rPr>
              <w:t>（签章）</w:t>
            </w:r>
          </w:p>
        </w:tc>
        <w:tc>
          <w:tcPr>
            <w:tcW w:w="2820" w:type="dxa"/>
            <w:vMerge w:val="restart"/>
            <w:tcBorders>
              <w:top w:val="single" w:color="000000" w:sz="2" w:space="0"/>
              <w:left w:val="single" w:color="000000" w:sz="2" w:space="0"/>
              <w:right w:val="single" w:color="000000" w:sz="2" w:space="0"/>
            </w:tcBorders>
            <w:noWrap w:val="0"/>
            <w:vAlign w:val="center"/>
          </w:tcPr>
          <w:p w14:paraId="08F7C851">
            <w:pPr>
              <w:pageBreakBefore w:val="0"/>
              <w:spacing w:line="420" w:lineRule="exact"/>
              <w:jc w:val="center"/>
              <w:rPr>
                <w:sz w:val="24"/>
              </w:rPr>
            </w:pPr>
          </w:p>
        </w:tc>
        <w:tc>
          <w:tcPr>
            <w:tcW w:w="2314" w:type="dxa"/>
            <w:tcBorders>
              <w:top w:val="single" w:color="000000" w:sz="2" w:space="0"/>
              <w:left w:val="single" w:color="000000" w:sz="2" w:space="0"/>
              <w:right w:val="single" w:color="000000" w:sz="2" w:space="0"/>
            </w:tcBorders>
            <w:noWrap w:val="0"/>
            <w:vAlign w:val="center"/>
          </w:tcPr>
          <w:p w14:paraId="0D998163">
            <w:pPr>
              <w:pageBreakBefore w:val="0"/>
              <w:spacing w:line="420" w:lineRule="exact"/>
              <w:jc w:val="center"/>
              <w:rPr>
                <w:sz w:val="24"/>
              </w:rPr>
            </w:pPr>
            <w:r>
              <w:rPr>
                <w:sz w:val="24"/>
              </w:rPr>
              <w:t>法定代表人</w:t>
            </w:r>
          </w:p>
          <w:p w14:paraId="02280823">
            <w:pPr>
              <w:pageBreakBefore w:val="0"/>
              <w:spacing w:line="420" w:lineRule="exact"/>
              <w:jc w:val="center"/>
              <w:rPr>
                <w:sz w:val="24"/>
              </w:rPr>
            </w:pPr>
            <w:r>
              <w:rPr>
                <w:rFonts w:hint="eastAsia"/>
                <w:sz w:val="24"/>
              </w:rPr>
              <w:t>或其</w:t>
            </w:r>
            <w:r>
              <w:rPr>
                <w:sz w:val="24"/>
              </w:rPr>
              <w:t>委托代理人</w:t>
            </w:r>
            <w:r>
              <w:rPr>
                <w:rFonts w:hint="eastAsia"/>
                <w:sz w:val="24"/>
              </w:rPr>
              <w:t>（签章）</w:t>
            </w:r>
          </w:p>
        </w:tc>
        <w:tc>
          <w:tcPr>
            <w:tcW w:w="2475" w:type="dxa"/>
            <w:tcBorders>
              <w:top w:val="single" w:color="000000" w:sz="2" w:space="0"/>
              <w:left w:val="single" w:color="000000" w:sz="2" w:space="0"/>
              <w:bottom w:val="single" w:color="000000" w:sz="2" w:space="0"/>
            </w:tcBorders>
            <w:noWrap w:val="0"/>
            <w:vAlign w:val="center"/>
          </w:tcPr>
          <w:p w14:paraId="147A23D6">
            <w:pPr>
              <w:pageBreakBefore w:val="0"/>
              <w:spacing w:line="420" w:lineRule="exact"/>
              <w:jc w:val="center"/>
              <w:rPr>
                <w:sz w:val="24"/>
              </w:rPr>
            </w:pPr>
          </w:p>
        </w:tc>
      </w:tr>
      <w:tr w14:paraId="61FF98AA">
        <w:tblPrEx>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CellMar>
            <w:top w:w="0" w:type="dxa"/>
            <w:left w:w="108" w:type="dxa"/>
            <w:bottom w:w="0" w:type="dxa"/>
            <w:right w:w="108" w:type="dxa"/>
          </w:tblCellMar>
        </w:tblPrEx>
        <w:trPr>
          <w:cantSplit/>
          <w:trHeight w:val="483" w:hRule="atLeast"/>
        </w:trPr>
        <w:tc>
          <w:tcPr>
            <w:tcW w:w="2211" w:type="dxa"/>
            <w:vMerge w:val="continue"/>
            <w:tcBorders>
              <w:bottom w:val="single" w:color="000000" w:sz="2" w:space="0"/>
              <w:right w:val="single" w:color="000000" w:sz="2" w:space="0"/>
            </w:tcBorders>
            <w:noWrap w:val="0"/>
            <w:vAlign w:val="center"/>
          </w:tcPr>
          <w:p w14:paraId="367D6324">
            <w:pPr>
              <w:pageBreakBefore w:val="0"/>
              <w:spacing w:line="420" w:lineRule="exact"/>
              <w:jc w:val="center"/>
              <w:rPr>
                <w:sz w:val="24"/>
              </w:rPr>
            </w:pPr>
          </w:p>
        </w:tc>
        <w:tc>
          <w:tcPr>
            <w:tcW w:w="2820" w:type="dxa"/>
            <w:vMerge w:val="continue"/>
            <w:tcBorders>
              <w:left w:val="single" w:color="000000" w:sz="2" w:space="0"/>
              <w:bottom w:val="single" w:color="000000" w:sz="2" w:space="0"/>
              <w:right w:val="single" w:color="000000" w:sz="2" w:space="0"/>
            </w:tcBorders>
            <w:noWrap w:val="0"/>
            <w:vAlign w:val="center"/>
          </w:tcPr>
          <w:p w14:paraId="7E2B404A">
            <w:pPr>
              <w:pageBreakBefore w:val="0"/>
              <w:spacing w:line="420" w:lineRule="exact"/>
              <w:jc w:val="center"/>
              <w:rPr>
                <w:sz w:val="24"/>
              </w:rPr>
            </w:pPr>
          </w:p>
        </w:tc>
        <w:tc>
          <w:tcPr>
            <w:tcW w:w="2314" w:type="dxa"/>
            <w:tcBorders>
              <w:top w:val="single" w:color="000000" w:sz="2" w:space="0"/>
              <w:left w:val="single" w:color="000000" w:sz="2" w:space="0"/>
              <w:bottom w:val="single" w:color="000000" w:sz="2" w:space="0"/>
              <w:right w:val="single" w:color="000000" w:sz="2" w:space="0"/>
            </w:tcBorders>
            <w:noWrap w:val="0"/>
            <w:vAlign w:val="center"/>
          </w:tcPr>
          <w:p w14:paraId="3BB72103">
            <w:pPr>
              <w:pageBreakBefore w:val="0"/>
              <w:spacing w:line="420" w:lineRule="exact"/>
              <w:jc w:val="center"/>
              <w:rPr>
                <w:sz w:val="24"/>
              </w:rPr>
            </w:pPr>
            <w:r>
              <w:rPr>
                <w:rFonts w:hint="eastAsia"/>
                <w:sz w:val="24"/>
              </w:rPr>
              <w:t>拥有者性别</w:t>
            </w:r>
          </w:p>
        </w:tc>
        <w:tc>
          <w:tcPr>
            <w:tcW w:w="2475" w:type="dxa"/>
            <w:tcBorders>
              <w:top w:val="single" w:color="000000" w:sz="2" w:space="0"/>
              <w:left w:val="single" w:color="000000" w:sz="2" w:space="0"/>
              <w:bottom w:val="single" w:color="000000" w:sz="2" w:space="0"/>
            </w:tcBorders>
            <w:noWrap w:val="0"/>
            <w:vAlign w:val="center"/>
          </w:tcPr>
          <w:p w14:paraId="0042C184">
            <w:pPr>
              <w:pageBreakBefore w:val="0"/>
              <w:spacing w:line="420" w:lineRule="exact"/>
              <w:jc w:val="center"/>
              <w:rPr>
                <w:spacing w:val="20"/>
                <w:sz w:val="24"/>
              </w:rPr>
            </w:pPr>
          </w:p>
        </w:tc>
      </w:tr>
      <w:tr w14:paraId="17A36882">
        <w:tblPrEx>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CellMar>
            <w:top w:w="0" w:type="dxa"/>
            <w:left w:w="108" w:type="dxa"/>
            <w:bottom w:w="0" w:type="dxa"/>
            <w:right w:w="108" w:type="dxa"/>
          </w:tblCellMar>
        </w:tblPrEx>
        <w:trPr>
          <w:trHeight w:val="483" w:hRule="atLeast"/>
        </w:trPr>
        <w:tc>
          <w:tcPr>
            <w:tcW w:w="2211" w:type="dxa"/>
            <w:tcBorders>
              <w:top w:val="single" w:color="000000" w:sz="2" w:space="0"/>
              <w:bottom w:val="single" w:color="000000" w:sz="2" w:space="0"/>
              <w:right w:val="single" w:color="000000" w:sz="2" w:space="0"/>
            </w:tcBorders>
            <w:noWrap w:val="0"/>
            <w:vAlign w:val="center"/>
          </w:tcPr>
          <w:p w14:paraId="779B9D77">
            <w:pPr>
              <w:pageBreakBefore w:val="0"/>
              <w:spacing w:line="420" w:lineRule="exact"/>
              <w:jc w:val="center"/>
              <w:rPr>
                <w:sz w:val="24"/>
              </w:rPr>
            </w:pPr>
            <w:r>
              <w:rPr>
                <w:rFonts w:hint="eastAsia"/>
                <w:sz w:val="24"/>
              </w:rPr>
              <w:t>住所</w:t>
            </w:r>
          </w:p>
        </w:tc>
        <w:tc>
          <w:tcPr>
            <w:tcW w:w="2820" w:type="dxa"/>
            <w:tcBorders>
              <w:top w:val="single" w:color="000000" w:sz="2" w:space="0"/>
              <w:left w:val="single" w:color="000000" w:sz="2" w:space="0"/>
              <w:bottom w:val="single" w:color="000000" w:sz="2" w:space="0"/>
              <w:right w:val="single" w:color="000000" w:sz="2" w:space="0"/>
            </w:tcBorders>
            <w:noWrap w:val="0"/>
            <w:vAlign w:val="center"/>
          </w:tcPr>
          <w:p w14:paraId="0B865987">
            <w:pPr>
              <w:pageBreakBefore w:val="0"/>
              <w:spacing w:line="420" w:lineRule="exact"/>
              <w:jc w:val="center"/>
              <w:rPr>
                <w:sz w:val="24"/>
              </w:rPr>
            </w:pPr>
          </w:p>
        </w:tc>
        <w:tc>
          <w:tcPr>
            <w:tcW w:w="2314" w:type="dxa"/>
            <w:tcBorders>
              <w:top w:val="single" w:color="000000" w:sz="2" w:space="0"/>
              <w:left w:val="single" w:color="000000" w:sz="2" w:space="0"/>
              <w:bottom w:val="single" w:color="000000" w:sz="2" w:space="0"/>
              <w:right w:val="single" w:color="000000" w:sz="2" w:space="0"/>
            </w:tcBorders>
            <w:noWrap w:val="0"/>
            <w:vAlign w:val="center"/>
          </w:tcPr>
          <w:p w14:paraId="2050F380">
            <w:pPr>
              <w:pageBreakBefore w:val="0"/>
              <w:spacing w:line="420" w:lineRule="exact"/>
              <w:jc w:val="center"/>
              <w:rPr>
                <w:sz w:val="24"/>
              </w:rPr>
            </w:pPr>
            <w:r>
              <w:rPr>
                <w:rFonts w:hint="eastAsia"/>
                <w:sz w:val="24"/>
              </w:rPr>
              <w:t>住所</w:t>
            </w:r>
          </w:p>
        </w:tc>
        <w:tc>
          <w:tcPr>
            <w:tcW w:w="2475" w:type="dxa"/>
            <w:tcBorders>
              <w:top w:val="single" w:color="000000" w:sz="2" w:space="0"/>
              <w:left w:val="single" w:color="000000" w:sz="2" w:space="0"/>
              <w:bottom w:val="single" w:color="000000" w:sz="2" w:space="0"/>
            </w:tcBorders>
            <w:noWrap w:val="0"/>
            <w:vAlign w:val="center"/>
          </w:tcPr>
          <w:p w14:paraId="014615D3">
            <w:pPr>
              <w:pageBreakBefore w:val="0"/>
              <w:spacing w:line="420" w:lineRule="exact"/>
              <w:jc w:val="center"/>
              <w:rPr>
                <w:spacing w:val="20"/>
                <w:sz w:val="24"/>
              </w:rPr>
            </w:pPr>
          </w:p>
        </w:tc>
      </w:tr>
      <w:tr w14:paraId="5727BC00">
        <w:tblPrEx>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CellMar>
            <w:top w:w="0" w:type="dxa"/>
            <w:left w:w="108" w:type="dxa"/>
            <w:bottom w:w="0" w:type="dxa"/>
            <w:right w:w="108" w:type="dxa"/>
          </w:tblCellMar>
        </w:tblPrEx>
        <w:trPr>
          <w:trHeight w:val="483" w:hRule="atLeast"/>
        </w:trPr>
        <w:tc>
          <w:tcPr>
            <w:tcW w:w="2211" w:type="dxa"/>
            <w:tcBorders>
              <w:top w:val="single" w:color="000000" w:sz="2" w:space="0"/>
              <w:bottom w:val="single" w:color="000000" w:sz="2" w:space="0"/>
              <w:right w:val="single" w:color="000000" w:sz="2" w:space="0"/>
            </w:tcBorders>
            <w:noWrap w:val="0"/>
            <w:vAlign w:val="center"/>
          </w:tcPr>
          <w:p w14:paraId="05636E8B">
            <w:pPr>
              <w:pageBreakBefore w:val="0"/>
              <w:spacing w:line="420" w:lineRule="exact"/>
              <w:jc w:val="center"/>
              <w:rPr>
                <w:sz w:val="24"/>
              </w:rPr>
            </w:pPr>
            <w:r>
              <w:rPr>
                <w:sz w:val="24"/>
              </w:rPr>
              <w:t>联 系 人</w:t>
            </w:r>
          </w:p>
        </w:tc>
        <w:tc>
          <w:tcPr>
            <w:tcW w:w="2820" w:type="dxa"/>
            <w:tcBorders>
              <w:top w:val="single" w:color="000000" w:sz="2" w:space="0"/>
              <w:left w:val="single" w:color="000000" w:sz="2" w:space="0"/>
              <w:bottom w:val="single" w:color="000000" w:sz="2" w:space="0"/>
              <w:right w:val="single" w:color="000000" w:sz="2" w:space="0"/>
            </w:tcBorders>
            <w:noWrap w:val="0"/>
            <w:vAlign w:val="center"/>
          </w:tcPr>
          <w:p w14:paraId="5A59FA82">
            <w:pPr>
              <w:pageBreakBefore w:val="0"/>
              <w:spacing w:line="420" w:lineRule="exact"/>
              <w:jc w:val="center"/>
              <w:rPr>
                <w:sz w:val="24"/>
              </w:rPr>
            </w:pPr>
          </w:p>
        </w:tc>
        <w:tc>
          <w:tcPr>
            <w:tcW w:w="2314" w:type="dxa"/>
            <w:tcBorders>
              <w:top w:val="single" w:color="000000" w:sz="2" w:space="0"/>
              <w:left w:val="single" w:color="000000" w:sz="2" w:space="0"/>
              <w:bottom w:val="single" w:color="000000" w:sz="2" w:space="0"/>
              <w:right w:val="single" w:color="000000" w:sz="2" w:space="0"/>
            </w:tcBorders>
            <w:noWrap w:val="0"/>
            <w:vAlign w:val="center"/>
          </w:tcPr>
          <w:p w14:paraId="23489A63">
            <w:pPr>
              <w:pageBreakBefore w:val="0"/>
              <w:spacing w:line="420" w:lineRule="exact"/>
              <w:jc w:val="center"/>
              <w:rPr>
                <w:sz w:val="24"/>
              </w:rPr>
            </w:pPr>
            <w:r>
              <w:rPr>
                <w:sz w:val="24"/>
              </w:rPr>
              <w:t>联 系 人</w:t>
            </w:r>
          </w:p>
        </w:tc>
        <w:tc>
          <w:tcPr>
            <w:tcW w:w="2475" w:type="dxa"/>
            <w:tcBorders>
              <w:top w:val="single" w:color="000000" w:sz="2" w:space="0"/>
              <w:left w:val="single" w:color="000000" w:sz="2" w:space="0"/>
              <w:bottom w:val="single" w:color="000000" w:sz="2" w:space="0"/>
            </w:tcBorders>
            <w:noWrap w:val="0"/>
            <w:vAlign w:val="center"/>
          </w:tcPr>
          <w:p w14:paraId="6F7822FF">
            <w:pPr>
              <w:pageBreakBefore w:val="0"/>
              <w:spacing w:line="420" w:lineRule="exact"/>
              <w:jc w:val="center"/>
              <w:rPr>
                <w:spacing w:val="20"/>
                <w:sz w:val="24"/>
              </w:rPr>
            </w:pPr>
          </w:p>
        </w:tc>
      </w:tr>
      <w:tr w14:paraId="16F0DD30">
        <w:tblPrEx>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CellMar>
            <w:top w:w="0" w:type="dxa"/>
            <w:left w:w="108" w:type="dxa"/>
            <w:bottom w:w="0" w:type="dxa"/>
            <w:right w:w="108" w:type="dxa"/>
          </w:tblCellMar>
        </w:tblPrEx>
        <w:trPr>
          <w:trHeight w:val="483" w:hRule="atLeast"/>
        </w:trPr>
        <w:tc>
          <w:tcPr>
            <w:tcW w:w="2211" w:type="dxa"/>
            <w:tcBorders>
              <w:top w:val="single" w:color="000000" w:sz="2" w:space="0"/>
              <w:bottom w:val="single" w:color="000000" w:sz="2" w:space="0"/>
              <w:right w:val="single" w:color="000000" w:sz="2" w:space="0"/>
            </w:tcBorders>
            <w:noWrap w:val="0"/>
            <w:vAlign w:val="center"/>
          </w:tcPr>
          <w:p w14:paraId="2F476117">
            <w:pPr>
              <w:pageBreakBefore w:val="0"/>
              <w:spacing w:line="420" w:lineRule="exact"/>
              <w:jc w:val="center"/>
              <w:rPr>
                <w:sz w:val="24"/>
              </w:rPr>
            </w:pPr>
            <w:r>
              <w:rPr>
                <w:sz w:val="24"/>
              </w:rPr>
              <w:t>联系电话</w:t>
            </w:r>
          </w:p>
        </w:tc>
        <w:tc>
          <w:tcPr>
            <w:tcW w:w="2820" w:type="dxa"/>
            <w:tcBorders>
              <w:top w:val="single" w:color="000000" w:sz="2" w:space="0"/>
              <w:left w:val="single" w:color="000000" w:sz="2" w:space="0"/>
              <w:bottom w:val="single" w:color="000000" w:sz="2" w:space="0"/>
              <w:right w:val="single" w:color="000000" w:sz="2" w:space="0"/>
            </w:tcBorders>
            <w:noWrap w:val="0"/>
            <w:vAlign w:val="center"/>
          </w:tcPr>
          <w:p w14:paraId="407F60E4">
            <w:pPr>
              <w:pageBreakBefore w:val="0"/>
              <w:spacing w:line="420" w:lineRule="exact"/>
              <w:jc w:val="center"/>
              <w:rPr>
                <w:sz w:val="24"/>
              </w:rPr>
            </w:pPr>
          </w:p>
        </w:tc>
        <w:tc>
          <w:tcPr>
            <w:tcW w:w="2314" w:type="dxa"/>
            <w:tcBorders>
              <w:top w:val="single" w:color="000000" w:sz="2" w:space="0"/>
              <w:left w:val="single" w:color="000000" w:sz="2" w:space="0"/>
              <w:bottom w:val="single" w:color="000000" w:sz="2" w:space="0"/>
              <w:right w:val="single" w:color="000000" w:sz="2" w:space="0"/>
            </w:tcBorders>
            <w:noWrap w:val="0"/>
            <w:vAlign w:val="center"/>
          </w:tcPr>
          <w:p w14:paraId="695CE8EE">
            <w:pPr>
              <w:pageBreakBefore w:val="0"/>
              <w:spacing w:line="420" w:lineRule="exact"/>
              <w:jc w:val="center"/>
              <w:rPr>
                <w:sz w:val="24"/>
              </w:rPr>
            </w:pPr>
            <w:r>
              <w:rPr>
                <w:sz w:val="24"/>
              </w:rPr>
              <w:t>联系电话</w:t>
            </w:r>
          </w:p>
        </w:tc>
        <w:tc>
          <w:tcPr>
            <w:tcW w:w="2475" w:type="dxa"/>
            <w:tcBorders>
              <w:top w:val="single" w:color="000000" w:sz="2" w:space="0"/>
              <w:left w:val="single" w:color="000000" w:sz="2" w:space="0"/>
              <w:bottom w:val="single" w:color="000000" w:sz="2" w:space="0"/>
            </w:tcBorders>
            <w:noWrap w:val="0"/>
            <w:vAlign w:val="center"/>
          </w:tcPr>
          <w:p w14:paraId="4E451693">
            <w:pPr>
              <w:pageBreakBefore w:val="0"/>
              <w:spacing w:line="420" w:lineRule="exact"/>
              <w:jc w:val="center"/>
              <w:rPr>
                <w:spacing w:val="20"/>
                <w:sz w:val="24"/>
              </w:rPr>
            </w:pPr>
          </w:p>
        </w:tc>
      </w:tr>
      <w:tr w14:paraId="0C01B139">
        <w:tblPrEx>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CellMar>
            <w:top w:w="0" w:type="dxa"/>
            <w:left w:w="108" w:type="dxa"/>
            <w:bottom w:w="0" w:type="dxa"/>
            <w:right w:w="108" w:type="dxa"/>
          </w:tblCellMar>
        </w:tblPrEx>
        <w:trPr>
          <w:trHeight w:val="483" w:hRule="atLeast"/>
        </w:trPr>
        <w:tc>
          <w:tcPr>
            <w:tcW w:w="2211" w:type="dxa"/>
            <w:tcBorders>
              <w:top w:val="single" w:color="000000" w:sz="2" w:space="0"/>
              <w:bottom w:val="single" w:color="000000" w:sz="2" w:space="0"/>
              <w:right w:val="single" w:color="000000" w:sz="2" w:space="0"/>
            </w:tcBorders>
            <w:noWrap w:val="0"/>
            <w:vAlign w:val="center"/>
          </w:tcPr>
          <w:p w14:paraId="11EC2EC4">
            <w:pPr>
              <w:pageBreakBefore w:val="0"/>
              <w:spacing w:line="420" w:lineRule="exact"/>
              <w:jc w:val="center"/>
              <w:rPr>
                <w:sz w:val="24"/>
              </w:rPr>
            </w:pPr>
            <w:r>
              <w:rPr>
                <w:rFonts w:hint="eastAsia"/>
                <w:sz w:val="24"/>
              </w:rPr>
              <w:t>通信地址</w:t>
            </w:r>
          </w:p>
        </w:tc>
        <w:tc>
          <w:tcPr>
            <w:tcW w:w="2820" w:type="dxa"/>
            <w:tcBorders>
              <w:top w:val="single" w:color="000000" w:sz="2" w:space="0"/>
              <w:left w:val="single" w:color="000000" w:sz="2" w:space="0"/>
              <w:bottom w:val="single" w:color="000000" w:sz="2" w:space="0"/>
              <w:right w:val="single" w:color="000000" w:sz="2" w:space="0"/>
            </w:tcBorders>
            <w:noWrap w:val="0"/>
            <w:vAlign w:val="center"/>
          </w:tcPr>
          <w:p w14:paraId="07C2E437">
            <w:pPr>
              <w:pageBreakBefore w:val="0"/>
              <w:spacing w:line="420" w:lineRule="exact"/>
              <w:jc w:val="center"/>
              <w:rPr>
                <w:sz w:val="24"/>
              </w:rPr>
            </w:pPr>
          </w:p>
        </w:tc>
        <w:tc>
          <w:tcPr>
            <w:tcW w:w="2314" w:type="dxa"/>
            <w:tcBorders>
              <w:top w:val="single" w:color="000000" w:sz="2" w:space="0"/>
              <w:left w:val="single" w:color="000000" w:sz="2" w:space="0"/>
              <w:bottom w:val="single" w:color="000000" w:sz="2" w:space="0"/>
              <w:right w:val="single" w:color="000000" w:sz="2" w:space="0"/>
            </w:tcBorders>
            <w:noWrap w:val="0"/>
            <w:vAlign w:val="center"/>
          </w:tcPr>
          <w:p w14:paraId="795E5FE7">
            <w:pPr>
              <w:pageBreakBefore w:val="0"/>
              <w:spacing w:line="420" w:lineRule="exact"/>
              <w:jc w:val="center"/>
              <w:rPr>
                <w:sz w:val="24"/>
              </w:rPr>
            </w:pPr>
            <w:r>
              <w:rPr>
                <w:rFonts w:hint="eastAsia"/>
                <w:sz w:val="24"/>
              </w:rPr>
              <w:t>通信地址</w:t>
            </w:r>
          </w:p>
        </w:tc>
        <w:tc>
          <w:tcPr>
            <w:tcW w:w="2475" w:type="dxa"/>
            <w:tcBorders>
              <w:top w:val="single" w:color="000000" w:sz="2" w:space="0"/>
              <w:left w:val="single" w:color="000000" w:sz="2" w:space="0"/>
              <w:bottom w:val="single" w:color="000000" w:sz="2" w:space="0"/>
            </w:tcBorders>
            <w:noWrap w:val="0"/>
            <w:vAlign w:val="center"/>
          </w:tcPr>
          <w:p w14:paraId="69D04FB6">
            <w:pPr>
              <w:pageBreakBefore w:val="0"/>
              <w:spacing w:line="420" w:lineRule="exact"/>
              <w:jc w:val="center"/>
              <w:rPr>
                <w:spacing w:val="20"/>
                <w:sz w:val="24"/>
              </w:rPr>
            </w:pPr>
          </w:p>
        </w:tc>
      </w:tr>
      <w:tr w14:paraId="4463BE57">
        <w:tblPrEx>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CellMar>
            <w:top w:w="0" w:type="dxa"/>
            <w:left w:w="108" w:type="dxa"/>
            <w:bottom w:w="0" w:type="dxa"/>
            <w:right w:w="108" w:type="dxa"/>
          </w:tblCellMar>
        </w:tblPrEx>
        <w:trPr>
          <w:trHeight w:val="483" w:hRule="atLeast"/>
        </w:trPr>
        <w:tc>
          <w:tcPr>
            <w:tcW w:w="2211" w:type="dxa"/>
            <w:tcBorders>
              <w:top w:val="single" w:color="000000" w:sz="2" w:space="0"/>
              <w:bottom w:val="single" w:color="000000" w:sz="2" w:space="0"/>
              <w:right w:val="single" w:color="000000" w:sz="2" w:space="0"/>
            </w:tcBorders>
            <w:noWrap w:val="0"/>
            <w:vAlign w:val="center"/>
          </w:tcPr>
          <w:p w14:paraId="3D8D6EDE">
            <w:pPr>
              <w:pageBreakBefore w:val="0"/>
              <w:spacing w:line="420" w:lineRule="exact"/>
              <w:jc w:val="center"/>
              <w:rPr>
                <w:sz w:val="24"/>
              </w:rPr>
            </w:pPr>
            <w:r>
              <w:rPr>
                <w:sz w:val="24"/>
              </w:rPr>
              <w:t>邮政编码</w:t>
            </w:r>
          </w:p>
        </w:tc>
        <w:tc>
          <w:tcPr>
            <w:tcW w:w="2820" w:type="dxa"/>
            <w:tcBorders>
              <w:top w:val="single" w:color="000000" w:sz="2" w:space="0"/>
              <w:left w:val="single" w:color="000000" w:sz="2" w:space="0"/>
              <w:bottom w:val="single" w:color="000000" w:sz="2" w:space="0"/>
              <w:right w:val="single" w:color="000000" w:sz="2" w:space="0"/>
            </w:tcBorders>
            <w:noWrap w:val="0"/>
            <w:vAlign w:val="center"/>
          </w:tcPr>
          <w:p w14:paraId="662A8C77">
            <w:pPr>
              <w:pageBreakBefore w:val="0"/>
              <w:spacing w:line="420" w:lineRule="exact"/>
              <w:jc w:val="center"/>
              <w:rPr>
                <w:sz w:val="24"/>
              </w:rPr>
            </w:pPr>
          </w:p>
        </w:tc>
        <w:tc>
          <w:tcPr>
            <w:tcW w:w="2314" w:type="dxa"/>
            <w:tcBorders>
              <w:top w:val="single" w:color="000000" w:sz="2" w:space="0"/>
              <w:left w:val="single" w:color="000000" w:sz="2" w:space="0"/>
              <w:bottom w:val="single" w:color="000000" w:sz="2" w:space="0"/>
              <w:right w:val="single" w:color="000000" w:sz="2" w:space="0"/>
            </w:tcBorders>
            <w:noWrap w:val="0"/>
            <w:vAlign w:val="center"/>
          </w:tcPr>
          <w:p w14:paraId="2CF28053">
            <w:pPr>
              <w:pageBreakBefore w:val="0"/>
              <w:spacing w:line="420" w:lineRule="exact"/>
              <w:jc w:val="center"/>
              <w:rPr>
                <w:sz w:val="24"/>
              </w:rPr>
            </w:pPr>
            <w:r>
              <w:rPr>
                <w:sz w:val="24"/>
              </w:rPr>
              <w:t>邮政编码</w:t>
            </w:r>
          </w:p>
        </w:tc>
        <w:tc>
          <w:tcPr>
            <w:tcW w:w="2475" w:type="dxa"/>
            <w:tcBorders>
              <w:top w:val="single" w:color="000000" w:sz="2" w:space="0"/>
              <w:left w:val="single" w:color="000000" w:sz="2" w:space="0"/>
              <w:bottom w:val="single" w:color="000000" w:sz="2" w:space="0"/>
            </w:tcBorders>
            <w:noWrap w:val="0"/>
            <w:vAlign w:val="center"/>
          </w:tcPr>
          <w:p w14:paraId="1E0FBFDB">
            <w:pPr>
              <w:pageBreakBefore w:val="0"/>
              <w:spacing w:line="420" w:lineRule="exact"/>
              <w:jc w:val="center"/>
              <w:rPr>
                <w:spacing w:val="20"/>
                <w:sz w:val="24"/>
              </w:rPr>
            </w:pPr>
          </w:p>
        </w:tc>
      </w:tr>
      <w:tr w14:paraId="750AB36A">
        <w:tblPrEx>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CellMar>
            <w:top w:w="0" w:type="dxa"/>
            <w:left w:w="108" w:type="dxa"/>
            <w:bottom w:w="0" w:type="dxa"/>
            <w:right w:w="108" w:type="dxa"/>
          </w:tblCellMar>
        </w:tblPrEx>
        <w:trPr>
          <w:trHeight w:val="483" w:hRule="atLeast"/>
        </w:trPr>
        <w:tc>
          <w:tcPr>
            <w:tcW w:w="2211" w:type="dxa"/>
            <w:tcBorders>
              <w:top w:val="single" w:color="000000" w:sz="2" w:space="0"/>
              <w:bottom w:val="single" w:color="000000" w:sz="2" w:space="0"/>
              <w:right w:val="single" w:color="000000" w:sz="2" w:space="0"/>
            </w:tcBorders>
            <w:noWrap w:val="0"/>
            <w:vAlign w:val="center"/>
          </w:tcPr>
          <w:p w14:paraId="78C4FEA4">
            <w:pPr>
              <w:pageBreakBefore w:val="0"/>
              <w:spacing w:line="420" w:lineRule="exact"/>
              <w:jc w:val="center"/>
              <w:rPr>
                <w:sz w:val="24"/>
              </w:rPr>
            </w:pPr>
            <w:r>
              <w:rPr>
                <w:rFonts w:hint="eastAsia"/>
                <w:sz w:val="24"/>
              </w:rPr>
              <w:t>电子邮箱</w:t>
            </w:r>
          </w:p>
        </w:tc>
        <w:tc>
          <w:tcPr>
            <w:tcW w:w="2820" w:type="dxa"/>
            <w:tcBorders>
              <w:top w:val="single" w:color="000000" w:sz="2" w:space="0"/>
              <w:left w:val="single" w:color="000000" w:sz="2" w:space="0"/>
              <w:bottom w:val="single" w:color="000000" w:sz="2" w:space="0"/>
              <w:right w:val="single" w:color="000000" w:sz="2" w:space="0"/>
            </w:tcBorders>
            <w:noWrap w:val="0"/>
            <w:vAlign w:val="center"/>
          </w:tcPr>
          <w:p w14:paraId="57E3EAFD">
            <w:pPr>
              <w:pageBreakBefore w:val="0"/>
              <w:spacing w:line="420" w:lineRule="exact"/>
              <w:jc w:val="center"/>
              <w:rPr>
                <w:sz w:val="24"/>
              </w:rPr>
            </w:pPr>
          </w:p>
        </w:tc>
        <w:tc>
          <w:tcPr>
            <w:tcW w:w="2314" w:type="dxa"/>
            <w:tcBorders>
              <w:top w:val="single" w:color="000000" w:sz="2" w:space="0"/>
              <w:left w:val="single" w:color="000000" w:sz="2" w:space="0"/>
              <w:bottom w:val="single" w:color="000000" w:sz="2" w:space="0"/>
              <w:right w:val="single" w:color="000000" w:sz="2" w:space="0"/>
            </w:tcBorders>
            <w:noWrap w:val="0"/>
            <w:vAlign w:val="center"/>
          </w:tcPr>
          <w:p w14:paraId="21404790">
            <w:pPr>
              <w:pageBreakBefore w:val="0"/>
              <w:spacing w:line="420" w:lineRule="exact"/>
              <w:jc w:val="center"/>
              <w:rPr>
                <w:sz w:val="24"/>
              </w:rPr>
            </w:pPr>
            <w:r>
              <w:rPr>
                <w:rFonts w:hint="eastAsia"/>
                <w:sz w:val="24"/>
              </w:rPr>
              <w:t>电子邮箱</w:t>
            </w:r>
          </w:p>
        </w:tc>
        <w:tc>
          <w:tcPr>
            <w:tcW w:w="2475" w:type="dxa"/>
            <w:tcBorders>
              <w:top w:val="single" w:color="000000" w:sz="2" w:space="0"/>
              <w:left w:val="single" w:color="000000" w:sz="2" w:space="0"/>
              <w:bottom w:val="single" w:color="000000" w:sz="2" w:space="0"/>
            </w:tcBorders>
            <w:noWrap w:val="0"/>
            <w:vAlign w:val="center"/>
          </w:tcPr>
          <w:p w14:paraId="05340CFF">
            <w:pPr>
              <w:pageBreakBefore w:val="0"/>
              <w:spacing w:line="420" w:lineRule="exact"/>
              <w:jc w:val="center"/>
              <w:rPr>
                <w:spacing w:val="20"/>
                <w:sz w:val="24"/>
              </w:rPr>
            </w:pPr>
          </w:p>
        </w:tc>
      </w:tr>
      <w:tr w14:paraId="6A44C469">
        <w:tblPrEx>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CellMar>
            <w:top w:w="0" w:type="dxa"/>
            <w:left w:w="108" w:type="dxa"/>
            <w:bottom w:w="0" w:type="dxa"/>
            <w:right w:w="108" w:type="dxa"/>
          </w:tblCellMar>
        </w:tblPrEx>
        <w:trPr>
          <w:trHeight w:val="483" w:hRule="atLeast"/>
        </w:trPr>
        <w:tc>
          <w:tcPr>
            <w:tcW w:w="2211" w:type="dxa"/>
            <w:tcBorders>
              <w:top w:val="single" w:color="000000" w:sz="2" w:space="0"/>
              <w:bottom w:val="single" w:color="000000" w:sz="2" w:space="0"/>
              <w:right w:val="single" w:color="000000" w:sz="2" w:space="0"/>
            </w:tcBorders>
            <w:noWrap w:val="0"/>
            <w:vAlign w:val="center"/>
          </w:tcPr>
          <w:p w14:paraId="32930D9A">
            <w:pPr>
              <w:pageBreakBefore w:val="0"/>
              <w:spacing w:line="420" w:lineRule="exact"/>
              <w:jc w:val="center"/>
              <w:rPr>
                <w:sz w:val="24"/>
              </w:rPr>
            </w:pPr>
            <w:r>
              <w:rPr>
                <w:rFonts w:hint="eastAsia"/>
                <w:sz w:val="24"/>
              </w:rPr>
              <w:t>统一社会信用代码</w:t>
            </w:r>
          </w:p>
        </w:tc>
        <w:tc>
          <w:tcPr>
            <w:tcW w:w="2820" w:type="dxa"/>
            <w:tcBorders>
              <w:top w:val="single" w:color="000000" w:sz="2" w:space="0"/>
              <w:left w:val="single" w:color="000000" w:sz="2" w:space="0"/>
              <w:bottom w:val="single" w:color="000000" w:sz="2" w:space="0"/>
              <w:right w:val="single" w:color="000000" w:sz="2" w:space="0"/>
            </w:tcBorders>
            <w:noWrap w:val="0"/>
            <w:vAlign w:val="center"/>
          </w:tcPr>
          <w:p w14:paraId="2D731B46">
            <w:pPr>
              <w:pageBreakBefore w:val="0"/>
              <w:spacing w:line="420" w:lineRule="exact"/>
              <w:jc w:val="center"/>
              <w:rPr>
                <w:sz w:val="24"/>
              </w:rPr>
            </w:pPr>
          </w:p>
        </w:tc>
        <w:tc>
          <w:tcPr>
            <w:tcW w:w="2314" w:type="dxa"/>
            <w:tcBorders>
              <w:top w:val="single" w:color="000000" w:sz="2" w:space="0"/>
              <w:left w:val="single" w:color="000000" w:sz="2" w:space="0"/>
              <w:bottom w:val="single" w:color="000000" w:sz="2" w:space="0"/>
              <w:right w:val="single" w:color="000000" w:sz="2" w:space="0"/>
            </w:tcBorders>
            <w:noWrap w:val="0"/>
            <w:vAlign w:val="center"/>
          </w:tcPr>
          <w:p w14:paraId="0CB58F44">
            <w:pPr>
              <w:pageBreakBefore w:val="0"/>
              <w:spacing w:line="420" w:lineRule="exact"/>
              <w:jc w:val="center"/>
              <w:rPr>
                <w:sz w:val="24"/>
              </w:rPr>
            </w:pPr>
            <w:r>
              <w:rPr>
                <w:rFonts w:hint="eastAsia"/>
                <w:sz w:val="24"/>
              </w:rPr>
              <w:t>统一社会信用代码</w:t>
            </w:r>
          </w:p>
        </w:tc>
        <w:tc>
          <w:tcPr>
            <w:tcW w:w="2475" w:type="dxa"/>
            <w:tcBorders>
              <w:top w:val="single" w:color="000000" w:sz="2" w:space="0"/>
              <w:left w:val="single" w:color="000000" w:sz="2" w:space="0"/>
              <w:bottom w:val="single" w:color="000000" w:sz="2" w:space="0"/>
            </w:tcBorders>
            <w:noWrap w:val="0"/>
            <w:vAlign w:val="center"/>
          </w:tcPr>
          <w:p w14:paraId="3C1A050B">
            <w:pPr>
              <w:pageBreakBefore w:val="0"/>
              <w:spacing w:line="420" w:lineRule="exact"/>
              <w:jc w:val="center"/>
              <w:rPr>
                <w:spacing w:val="20"/>
                <w:sz w:val="24"/>
              </w:rPr>
            </w:pPr>
          </w:p>
        </w:tc>
      </w:tr>
      <w:tr w14:paraId="667E2138">
        <w:tblPrEx>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CellMar>
            <w:top w:w="0" w:type="dxa"/>
            <w:left w:w="108" w:type="dxa"/>
            <w:bottom w:w="0" w:type="dxa"/>
            <w:right w:w="108" w:type="dxa"/>
          </w:tblCellMar>
        </w:tblPrEx>
        <w:trPr>
          <w:trHeight w:val="483" w:hRule="atLeast"/>
        </w:trPr>
        <w:tc>
          <w:tcPr>
            <w:tcW w:w="2211" w:type="dxa"/>
            <w:tcBorders>
              <w:top w:val="single" w:color="000000" w:sz="2" w:space="0"/>
              <w:bottom w:val="single" w:color="000000" w:sz="2" w:space="0"/>
              <w:right w:val="single" w:color="000000" w:sz="2" w:space="0"/>
            </w:tcBorders>
            <w:noWrap w:val="0"/>
            <w:vAlign w:val="center"/>
          </w:tcPr>
          <w:p w14:paraId="76D9A4D2">
            <w:pPr>
              <w:pageBreakBefore w:val="0"/>
              <w:spacing w:line="420" w:lineRule="exact"/>
              <w:jc w:val="center"/>
              <w:rPr>
                <w:sz w:val="24"/>
              </w:rPr>
            </w:pPr>
          </w:p>
        </w:tc>
        <w:tc>
          <w:tcPr>
            <w:tcW w:w="2820" w:type="dxa"/>
            <w:tcBorders>
              <w:top w:val="single" w:color="000000" w:sz="2" w:space="0"/>
              <w:left w:val="single" w:color="000000" w:sz="2" w:space="0"/>
              <w:bottom w:val="single" w:color="000000" w:sz="2" w:space="0"/>
              <w:right w:val="single" w:color="000000" w:sz="2" w:space="0"/>
            </w:tcBorders>
            <w:noWrap w:val="0"/>
            <w:vAlign w:val="center"/>
          </w:tcPr>
          <w:p w14:paraId="45A9691A">
            <w:pPr>
              <w:pageBreakBefore w:val="0"/>
              <w:spacing w:line="420" w:lineRule="exact"/>
              <w:jc w:val="center"/>
              <w:rPr>
                <w:sz w:val="24"/>
              </w:rPr>
            </w:pPr>
          </w:p>
        </w:tc>
        <w:tc>
          <w:tcPr>
            <w:tcW w:w="2314" w:type="dxa"/>
            <w:tcBorders>
              <w:top w:val="single" w:color="000000" w:sz="2" w:space="0"/>
              <w:left w:val="single" w:color="000000" w:sz="2" w:space="0"/>
              <w:bottom w:val="single" w:color="000000" w:sz="2" w:space="0"/>
              <w:right w:val="single" w:color="000000" w:sz="2" w:space="0"/>
            </w:tcBorders>
            <w:noWrap w:val="0"/>
            <w:vAlign w:val="center"/>
          </w:tcPr>
          <w:p w14:paraId="55AEE8C6">
            <w:pPr>
              <w:pageBreakBefore w:val="0"/>
              <w:spacing w:line="420" w:lineRule="exact"/>
              <w:jc w:val="center"/>
              <w:rPr>
                <w:sz w:val="24"/>
              </w:rPr>
            </w:pPr>
            <w:r>
              <w:rPr>
                <w:sz w:val="24"/>
              </w:rPr>
              <w:t>开户名称</w:t>
            </w:r>
          </w:p>
        </w:tc>
        <w:tc>
          <w:tcPr>
            <w:tcW w:w="2475" w:type="dxa"/>
            <w:tcBorders>
              <w:top w:val="single" w:color="000000" w:sz="2" w:space="0"/>
              <w:left w:val="single" w:color="000000" w:sz="2" w:space="0"/>
              <w:bottom w:val="single" w:color="000000" w:sz="2" w:space="0"/>
            </w:tcBorders>
            <w:noWrap w:val="0"/>
            <w:vAlign w:val="center"/>
          </w:tcPr>
          <w:p w14:paraId="1DFAFC4E">
            <w:pPr>
              <w:pageBreakBefore w:val="0"/>
              <w:spacing w:line="420" w:lineRule="exact"/>
              <w:jc w:val="center"/>
              <w:rPr>
                <w:spacing w:val="20"/>
                <w:sz w:val="24"/>
              </w:rPr>
            </w:pPr>
          </w:p>
        </w:tc>
      </w:tr>
      <w:tr w14:paraId="04F69760">
        <w:tblPrEx>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CellMar>
            <w:top w:w="0" w:type="dxa"/>
            <w:left w:w="108" w:type="dxa"/>
            <w:bottom w:w="0" w:type="dxa"/>
            <w:right w:w="108" w:type="dxa"/>
          </w:tblCellMar>
        </w:tblPrEx>
        <w:trPr>
          <w:trHeight w:val="483" w:hRule="atLeast"/>
        </w:trPr>
        <w:tc>
          <w:tcPr>
            <w:tcW w:w="2211" w:type="dxa"/>
            <w:tcBorders>
              <w:top w:val="single" w:color="000000" w:sz="2" w:space="0"/>
              <w:bottom w:val="single" w:color="000000" w:sz="2" w:space="0"/>
              <w:right w:val="single" w:color="000000" w:sz="2" w:space="0"/>
            </w:tcBorders>
            <w:noWrap w:val="0"/>
            <w:vAlign w:val="center"/>
          </w:tcPr>
          <w:p w14:paraId="7FD73BCA">
            <w:pPr>
              <w:pageBreakBefore w:val="0"/>
              <w:spacing w:line="420" w:lineRule="exact"/>
              <w:jc w:val="center"/>
              <w:rPr>
                <w:sz w:val="24"/>
              </w:rPr>
            </w:pPr>
          </w:p>
        </w:tc>
        <w:tc>
          <w:tcPr>
            <w:tcW w:w="2820" w:type="dxa"/>
            <w:tcBorders>
              <w:top w:val="single" w:color="000000" w:sz="2" w:space="0"/>
              <w:left w:val="single" w:color="000000" w:sz="2" w:space="0"/>
              <w:bottom w:val="single" w:color="000000" w:sz="2" w:space="0"/>
              <w:right w:val="single" w:color="000000" w:sz="2" w:space="0"/>
            </w:tcBorders>
            <w:noWrap w:val="0"/>
            <w:vAlign w:val="center"/>
          </w:tcPr>
          <w:p w14:paraId="260F0DAE">
            <w:pPr>
              <w:pageBreakBefore w:val="0"/>
              <w:spacing w:line="420" w:lineRule="exact"/>
              <w:jc w:val="center"/>
              <w:rPr>
                <w:sz w:val="24"/>
              </w:rPr>
            </w:pPr>
          </w:p>
        </w:tc>
        <w:tc>
          <w:tcPr>
            <w:tcW w:w="2314" w:type="dxa"/>
            <w:tcBorders>
              <w:top w:val="single" w:color="000000" w:sz="2" w:space="0"/>
              <w:left w:val="single" w:color="000000" w:sz="2" w:space="0"/>
              <w:bottom w:val="single" w:color="000000" w:sz="2" w:space="0"/>
              <w:right w:val="single" w:color="000000" w:sz="2" w:space="0"/>
            </w:tcBorders>
            <w:noWrap w:val="0"/>
            <w:vAlign w:val="center"/>
          </w:tcPr>
          <w:p w14:paraId="5110C24B">
            <w:pPr>
              <w:pageBreakBefore w:val="0"/>
              <w:spacing w:line="420" w:lineRule="exact"/>
              <w:jc w:val="center"/>
              <w:rPr>
                <w:sz w:val="24"/>
              </w:rPr>
            </w:pPr>
            <w:r>
              <w:rPr>
                <w:sz w:val="24"/>
              </w:rPr>
              <w:t>开户银行</w:t>
            </w:r>
          </w:p>
        </w:tc>
        <w:tc>
          <w:tcPr>
            <w:tcW w:w="2475" w:type="dxa"/>
            <w:tcBorders>
              <w:top w:val="single" w:color="000000" w:sz="2" w:space="0"/>
              <w:left w:val="single" w:color="000000" w:sz="2" w:space="0"/>
              <w:bottom w:val="single" w:color="000000" w:sz="2" w:space="0"/>
            </w:tcBorders>
            <w:noWrap w:val="0"/>
            <w:vAlign w:val="center"/>
          </w:tcPr>
          <w:p w14:paraId="3A5FA992">
            <w:pPr>
              <w:pageBreakBefore w:val="0"/>
              <w:spacing w:line="420" w:lineRule="exact"/>
              <w:jc w:val="center"/>
              <w:rPr>
                <w:spacing w:val="20"/>
                <w:sz w:val="24"/>
              </w:rPr>
            </w:pPr>
          </w:p>
        </w:tc>
      </w:tr>
      <w:tr w14:paraId="419C3031">
        <w:tblPrEx>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CellMar>
            <w:top w:w="0" w:type="dxa"/>
            <w:left w:w="108" w:type="dxa"/>
            <w:bottom w:w="0" w:type="dxa"/>
            <w:right w:w="108" w:type="dxa"/>
          </w:tblCellMar>
        </w:tblPrEx>
        <w:trPr>
          <w:trHeight w:val="483" w:hRule="atLeast"/>
        </w:trPr>
        <w:tc>
          <w:tcPr>
            <w:tcW w:w="2211" w:type="dxa"/>
            <w:tcBorders>
              <w:top w:val="single" w:color="000000" w:sz="2" w:space="0"/>
              <w:bottom w:val="single" w:color="000000" w:sz="2" w:space="0"/>
              <w:right w:val="single" w:color="000000" w:sz="2" w:space="0"/>
            </w:tcBorders>
            <w:noWrap w:val="0"/>
            <w:vAlign w:val="center"/>
          </w:tcPr>
          <w:p w14:paraId="609168B6">
            <w:pPr>
              <w:pageBreakBefore w:val="0"/>
              <w:spacing w:line="420" w:lineRule="exact"/>
              <w:jc w:val="center"/>
              <w:rPr>
                <w:sz w:val="24"/>
              </w:rPr>
            </w:pPr>
          </w:p>
        </w:tc>
        <w:tc>
          <w:tcPr>
            <w:tcW w:w="2820" w:type="dxa"/>
            <w:tcBorders>
              <w:top w:val="single" w:color="000000" w:sz="2" w:space="0"/>
              <w:left w:val="single" w:color="000000" w:sz="2" w:space="0"/>
              <w:bottom w:val="single" w:color="000000" w:sz="2" w:space="0"/>
              <w:right w:val="single" w:color="000000" w:sz="2" w:space="0"/>
            </w:tcBorders>
            <w:noWrap w:val="0"/>
            <w:vAlign w:val="center"/>
          </w:tcPr>
          <w:p w14:paraId="564745F4">
            <w:pPr>
              <w:pageBreakBefore w:val="0"/>
              <w:spacing w:line="420" w:lineRule="exact"/>
              <w:jc w:val="center"/>
              <w:rPr>
                <w:sz w:val="24"/>
              </w:rPr>
            </w:pPr>
          </w:p>
        </w:tc>
        <w:tc>
          <w:tcPr>
            <w:tcW w:w="2314" w:type="dxa"/>
            <w:tcBorders>
              <w:top w:val="single" w:color="000000" w:sz="2" w:space="0"/>
              <w:left w:val="single" w:color="000000" w:sz="2" w:space="0"/>
              <w:bottom w:val="single" w:color="000000" w:sz="2" w:space="0"/>
              <w:right w:val="single" w:color="000000" w:sz="2" w:space="0"/>
            </w:tcBorders>
            <w:noWrap w:val="0"/>
            <w:vAlign w:val="center"/>
          </w:tcPr>
          <w:p w14:paraId="6CC95E5D">
            <w:pPr>
              <w:pageBreakBefore w:val="0"/>
              <w:spacing w:line="420" w:lineRule="exact"/>
              <w:jc w:val="center"/>
              <w:rPr>
                <w:sz w:val="24"/>
              </w:rPr>
            </w:pPr>
            <w:r>
              <w:rPr>
                <w:sz w:val="24"/>
              </w:rPr>
              <w:t>银行账号</w:t>
            </w:r>
          </w:p>
        </w:tc>
        <w:tc>
          <w:tcPr>
            <w:tcW w:w="2475" w:type="dxa"/>
            <w:tcBorders>
              <w:top w:val="single" w:color="000000" w:sz="2" w:space="0"/>
              <w:left w:val="single" w:color="000000" w:sz="2" w:space="0"/>
              <w:bottom w:val="single" w:color="000000" w:sz="2" w:space="0"/>
            </w:tcBorders>
            <w:noWrap w:val="0"/>
            <w:vAlign w:val="center"/>
          </w:tcPr>
          <w:p w14:paraId="32CA9273">
            <w:pPr>
              <w:pageBreakBefore w:val="0"/>
              <w:spacing w:line="420" w:lineRule="exact"/>
              <w:jc w:val="center"/>
              <w:rPr>
                <w:spacing w:val="20"/>
                <w:sz w:val="24"/>
              </w:rPr>
            </w:pPr>
          </w:p>
        </w:tc>
      </w:tr>
      <w:tr w14:paraId="53DDBC92">
        <w:tblPrEx>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CellMar>
            <w:top w:w="0" w:type="dxa"/>
            <w:left w:w="108" w:type="dxa"/>
            <w:bottom w:w="0" w:type="dxa"/>
            <w:right w:w="108" w:type="dxa"/>
          </w:tblCellMar>
        </w:tblPrEx>
        <w:trPr>
          <w:trHeight w:val="586" w:hRule="atLeast"/>
        </w:trPr>
        <w:tc>
          <w:tcPr>
            <w:tcW w:w="9820" w:type="dxa"/>
            <w:gridSpan w:val="4"/>
            <w:tcBorders>
              <w:top w:val="single" w:color="000000" w:sz="2" w:space="0"/>
            </w:tcBorders>
            <w:noWrap w:val="0"/>
            <w:vAlign w:val="center"/>
          </w:tcPr>
          <w:p w14:paraId="7A4DCE9C">
            <w:pPr>
              <w:pageBreakBefore w:val="0"/>
              <w:spacing w:line="420" w:lineRule="exact"/>
              <w:jc w:val="left"/>
              <w:rPr>
                <w:spacing w:val="20"/>
                <w:sz w:val="24"/>
              </w:rPr>
            </w:pPr>
            <w:r>
              <w:rPr>
                <w:rFonts w:hint="eastAsia" w:ascii="宋体" w:hAnsi="宋体"/>
                <w:sz w:val="24"/>
              </w:rPr>
              <w:t>注：涉及联合体或其他合同主体的信息应按上表格式加列。</w:t>
            </w:r>
          </w:p>
        </w:tc>
      </w:tr>
    </w:tbl>
    <w:p w14:paraId="6747A8DC">
      <w:pPr>
        <w:pStyle w:val="3"/>
        <w:pageBreakBefore w:val="0"/>
        <w:spacing w:before="120" w:line="420" w:lineRule="exact"/>
        <w:jc w:val="center"/>
        <w:rPr>
          <w:rFonts w:ascii="黑体" w:hAnsi="黑体" w:eastAsia="黑体"/>
          <w:sz w:val="28"/>
          <w:szCs w:val="28"/>
        </w:rPr>
      </w:pPr>
      <w:r>
        <w:rPr>
          <w:rFonts w:ascii="宋体" w:hAnsi="宋体"/>
          <w:u w:val="single"/>
        </w:rPr>
        <w:br w:type="page" w:clear="all"/>
      </w:r>
      <w:bookmarkStart w:id="139" w:name="_Toc27624"/>
      <w:bookmarkStart w:id="140" w:name="_Toc20313"/>
      <w:r>
        <w:rPr>
          <w:rFonts w:hint="eastAsia" w:ascii="黑体" w:hAnsi="黑体" w:eastAsia="黑体"/>
          <w:b w:val="0"/>
          <w:bCs w:val="0"/>
          <w:sz w:val="28"/>
          <w:szCs w:val="28"/>
        </w:rPr>
        <w:t>第二节 政府采购合同通用条款</w:t>
      </w:r>
      <w:bookmarkEnd w:id="139"/>
    </w:p>
    <w:p w14:paraId="50F0CCBC">
      <w:pPr>
        <w:pageBreakBefore w:val="0"/>
        <w:tabs>
          <w:tab w:val="left" w:pos="8820"/>
          <w:tab w:val="left" w:pos="9345"/>
          <w:tab w:val="left" w:pos="9765"/>
        </w:tabs>
        <w:spacing w:line="420" w:lineRule="exact"/>
        <w:jc w:val="left"/>
        <w:rPr>
          <w:rFonts w:ascii="宋体" w:hAnsi="宋体"/>
          <w:b/>
          <w:bCs/>
          <w:sz w:val="24"/>
        </w:rPr>
      </w:pPr>
      <w:r>
        <w:rPr>
          <w:rFonts w:hint="eastAsia" w:ascii="宋体" w:hAnsi="宋体"/>
          <w:b/>
          <w:sz w:val="24"/>
        </w:rPr>
        <w:t xml:space="preserve">1. </w:t>
      </w:r>
      <w:r>
        <w:rPr>
          <w:rFonts w:hint="eastAsia" w:ascii="宋体" w:hAnsi="宋体"/>
          <w:b/>
          <w:bCs/>
          <w:sz w:val="24"/>
        </w:rPr>
        <w:t>定义</w:t>
      </w:r>
    </w:p>
    <w:p w14:paraId="72ACE37F">
      <w:pPr>
        <w:pageBreakBefore w:val="0"/>
        <w:spacing w:line="420" w:lineRule="exact"/>
        <w:ind w:firstLine="420"/>
        <w:jc w:val="left"/>
        <w:rPr>
          <w:rFonts w:ascii="宋体" w:hAnsi="宋体"/>
          <w:szCs w:val="21"/>
        </w:rPr>
      </w:pPr>
      <w:r>
        <w:rPr>
          <w:rFonts w:hint="eastAsia" w:ascii="宋体" w:hAnsi="宋体"/>
          <w:szCs w:val="21"/>
        </w:rPr>
        <w:t>1.1合同当事人</w:t>
      </w:r>
    </w:p>
    <w:p w14:paraId="6F424037">
      <w:pPr>
        <w:pageBreakBefore w:val="0"/>
        <w:spacing w:line="420" w:lineRule="exact"/>
        <w:ind w:firstLine="420"/>
        <w:jc w:val="left"/>
        <w:rPr>
          <w:rFonts w:ascii="宋体" w:hAnsi="宋体"/>
          <w:szCs w:val="21"/>
        </w:rPr>
      </w:pPr>
      <w:r>
        <w:rPr>
          <w:rFonts w:hint="eastAsia" w:ascii="宋体" w:hAnsi="宋体"/>
          <w:szCs w:val="21"/>
        </w:rPr>
        <w:t>（1）采购人（以下称甲方）是指使用财政性资金，通过政府采购方式向供应商购买货物及其相关服务的国家机关、事业单位、团体组织。</w:t>
      </w:r>
    </w:p>
    <w:p w14:paraId="77854DEC">
      <w:pPr>
        <w:pageBreakBefore w:val="0"/>
        <w:spacing w:line="420" w:lineRule="exact"/>
        <w:ind w:firstLine="420"/>
        <w:jc w:val="left"/>
        <w:rPr>
          <w:rFonts w:ascii="宋体" w:hAnsi="宋体"/>
          <w:szCs w:val="21"/>
        </w:rPr>
      </w:pPr>
      <w:r>
        <w:rPr>
          <w:rFonts w:hint="eastAsia" w:ascii="宋体" w:hAnsi="宋体"/>
          <w:szCs w:val="21"/>
        </w:rPr>
        <w:t>（2）供应商（以下称乙方）是指参加政府采购活动并且中标（成交），向采购人提供合同约定的货物及其相关服务的法人、非法人组织或者自然人。</w:t>
      </w:r>
    </w:p>
    <w:p w14:paraId="515124E3">
      <w:pPr>
        <w:pageBreakBefore w:val="0"/>
        <w:spacing w:line="420" w:lineRule="exact"/>
        <w:ind w:firstLine="420"/>
        <w:jc w:val="left"/>
        <w:rPr>
          <w:rFonts w:ascii="宋体" w:hAnsi="宋体"/>
          <w:szCs w:val="21"/>
        </w:rPr>
      </w:pPr>
      <w:r>
        <w:rPr>
          <w:rFonts w:hint="eastAsia" w:ascii="宋体" w:hAnsi="宋体"/>
          <w:szCs w:val="21"/>
        </w:rPr>
        <w:t>（3）其他合同主体是指除采购人和供应商以外，</w:t>
      </w:r>
      <w:r>
        <w:rPr>
          <w:rFonts w:hint="eastAsia" w:ascii="宋体" w:hAnsi="宋体" w:cs="宋体"/>
          <w:bCs/>
          <w:szCs w:val="21"/>
        </w:rPr>
        <w:t>依法参与合同缔结或履行，享有权利、承担义务的合同当事人</w:t>
      </w:r>
      <w:r>
        <w:rPr>
          <w:rFonts w:hint="eastAsia" w:ascii="宋体" w:hAnsi="宋体"/>
          <w:szCs w:val="21"/>
        </w:rPr>
        <w:t>。</w:t>
      </w:r>
    </w:p>
    <w:p w14:paraId="2C8863A9">
      <w:pPr>
        <w:pageBreakBefore w:val="0"/>
        <w:tabs>
          <w:tab w:val="left" w:pos="570"/>
          <w:tab w:val="left" w:pos="9240"/>
          <w:tab w:val="left" w:pos="9555"/>
        </w:tabs>
        <w:spacing w:line="420" w:lineRule="exact"/>
        <w:ind w:firstLine="420"/>
        <w:jc w:val="left"/>
        <w:rPr>
          <w:rFonts w:ascii="宋体" w:hAnsi="宋体"/>
          <w:szCs w:val="21"/>
        </w:rPr>
      </w:pPr>
      <w:r>
        <w:rPr>
          <w:rFonts w:hint="eastAsia" w:ascii="宋体" w:hAnsi="宋体"/>
          <w:szCs w:val="21"/>
        </w:rPr>
        <w:t>1.2本合同下列术语应解释为：</w:t>
      </w:r>
    </w:p>
    <w:p w14:paraId="1553A38B">
      <w:pPr>
        <w:pageBreakBefore w:val="0"/>
        <w:spacing w:line="420" w:lineRule="exact"/>
        <w:ind w:firstLine="420"/>
        <w:jc w:val="left"/>
        <w:rPr>
          <w:rFonts w:ascii="宋体" w:hAnsi="宋体"/>
          <w:szCs w:val="21"/>
        </w:rPr>
      </w:pPr>
      <w:r>
        <w:rPr>
          <w:rFonts w:hint="eastAsia" w:ascii="宋体" w:hAnsi="宋体"/>
          <w:szCs w:val="21"/>
        </w:rPr>
        <w:t>（1）“合同”系指</w:t>
      </w:r>
      <w:r>
        <w:rPr>
          <w:rFonts w:hint="eastAsia" w:ascii="宋体" w:hAnsi="宋体" w:cs="宋体"/>
          <w:bCs/>
          <w:szCs w:val="21"/>
        </w:rPr>
        <w:t>合同当事人意思表示达成一致的任何协议，包括签署的</w:t>
      </w:r>
      <w:r>
        <w:rPr>
          <w:rFonts w:hint="eastAsia" w:ascii="宋体" w:hAnsi="宋体"/>
          <w:szCs w:val="21"/>
        </w:rPr>
        <w:t>政府采购合同协议书及其变更、补充协议，政府采购合同专用条款，政府采购合同通用条款，中标（成交）通知书，投标（响应）文件，</w:t>
      </w:r>
      <w:r>
        <w:rPr>
          <w:rFonts w:hint="eastAsia" w:ascii="仿宋" w:hAnsi="仿宋" w:eastAsia="仿宋" w:cs="仿宋"/>
          <w:color w:val="333333"/>
          <w:sz w:val="28"/>
          <w:szCs w:val="28"/>
          <w:shd w:val="clear" w:color="auto" w:fill="FFFFFF"/>
        </w:rPr>
        <w:t>询价</w:t>
      </w:r>
      <w:r>
        <w:rPr>
          <w:rFonts w:hint="eastAsia" w:ascii="宋体" w:hAnsi="宋体"/>
          <w:szCs w:val="21"/>
        </w:rPr>
        <w:t>文件，有关技术文件和图纸，以及</w:t>
      </w:r>
      <w:r>
        <w:rPr>
          <w:rFonts w:hint="eastAsia" w:ascii="宋体" w:hAnsi="宋体" w:cs="宋体"/>
          <w:szCs w:val="21"/>
        </w:rPr>
        <w:t>国家法律、行政法规和规章制度规定或合同约定的作为合同组成部分的其他文件</w:t>
      </w:r>
      <w:r>
        <w:rPr>
          <w:rFonts w:hint="eastAsia" w:ascii="宋体" w:hAnsi="宋体"/>
          <w:szCs w:val="21"/>
        </w:rPr>
        <w:t>。</w:t>
      </w:r>
    </w:p>
    <w:p w14:paraId="5B4A00BA">
      <w:pPr>
        <w:pageBreakBefore w:val="0"/>
        <w:tabs>
          <w:tab w:val="left" w:pos="570"/>
          <w:tab w:val="left" w:pos="9240"/>
          <w:tab w:val="left" w:pos="9555"/>
        </w:tabs>
        <w:spacing w:line="420" w:lineRule="exact"/>
        <w:ind w:firstLine="420"/>
        <w:jc w:val="left"/>
        <w:rPr>
          <w:rFonts w:ascii="宋体" w:hAnsi="宋体"/>
          <w:szCs w:val="21"/>
        </w:rPr>
      </w:pPr>
      <w:r>
        <w:rPr>
          <w:rFonts w:hint="eastAsia" w:ascii="宋体" w:hAnsi="宋体"/>
          <w:szCs w:val="21"/>
        </w:rPr>
        <w:t>（2）“合同价款”系指根据本合同规定乙方在全面履行合同义务后甲方应支付给乙方的价款。</w:t>
      </w:r>
    </w:p>
    <w:p w14:paraId="44450A54">
      <w:pPr>
        <w:pageBreakBefore w:val="0"/>
        <w:tabs>
          <w:tab w:val="left" w:pos="570"/>
          <w:tab w:val="left" w:pos="9240"/>
          <w:tab w:val="left" w:pos="9555"/>
        </w:tabs>
        <w:spacing w:line="420" w:lineRule="exact"/>
        <w:ind w:firstLine="420"/>
        <w:jc w:val="left"/>
        <w:rPr>
          <w:rFonts w:ascii="宋体" w:hAnsi="宋体"/>
          <w:szCs w:val="21"/>
        </w:rPr>
      </w:pPr>
      <w:r>
        <w:rPr>
          <w:rFonts w:hint="eastAsia" w:ascii="宋体" w:hAnsi="宋体"/>
          <w:szCs w:val="21"/>
        </w:rPr>
        <w:t>（3）“货物”系指乙方根据本合同规定须向甲方提供的各种形态和种类的物品，包括原材料、设备、产品（包括软件）及相关的其备品备件、工具、手册及</w:t>
      </w:r>
      <w:r>
        <w:rPr>
          <w:rFonts w:hint="eastAsia" w:ascii="宋体" w:hAnsi="宋体"/>
          <w:szCs w:val="21"/>
          <w:lang w:val="en"/>
        </w:rPr>
        <w:t>其他</w:t>
      </w:r>
      <w:r>
        <w:rPr>
          <w:rFonts w:hint="eastAsia" w:ascii="宋体" w:hAnsi="宋体"/>
          <w:szCs w:val="21"/>
        </w:rPr>
        <w:t>技术资料和材料等。</w:t>
      </w:r>
    </w:p>
    <w:p w14:paraId="7228DEB4">
      <w:pPr>
        <w:pageBreakBefore w:val="0"/>
        <w:spacing w:line="420" w:lineRule="exact"/>
        <w:ind w:firstLine="420"/>
        <w:jc w:val="left"/>
        <w:rPr>
          <w:rFonts w:ascii="宋体" w:hAnsi="宋体"/>
          <w:szCs w:val="21"/>
        </w:rPr>
      </w:pPr>
      <w:r>
        <w:rPr>
          <w:rFonts w:hint="eastAsia" w:ascii="宋体" w:hAnsi="宋体"/>
          <w:szCs w:val="21"/>
        </w:rPr>
        <w:t>（4）“相关服务”系指根据合同规定，乙方应提供的与货物有关的技术、管理和</w:t>
      </w:r>
      <w:r>
        <w:rPr>
          <w:rFonts w:hint="eastAsia" w:ascii="宋体" w:hAnsi="宋体"/>
          <w:szCs w:val="21"/>
          <w:lang w:val="en"/>
        </w:rPr>
        <w:t>其他</w:t>
      </w:r>
      <w:r>
        <w:rPr>
          <w:rFonts w:hint="eastAsia" w:ascii="宋体" w:hAnsi="宋体"/>
          <w:szCs w:val="21"/>
        </w:rPr>
        <w:t>服务，包括但不限于：管理和质量保证、运输、保险、检验、现场准备、安装、集成、调试、培训、维修、废弃处置、技术支持等以及合同中规定乙方应承担的</w:t>
      </w:r>
      <w:r>
        <w:rPr>
          <w:rFonts w:hint="eastAsia" w:ascii="宋体" w:hAnsi="宋体"/>
          <w:szCs w:val="21"/>
          <w:lang w:val="en"/>
        </w:rPr>
        <w:t>其他</w:t>
      </w:r>
      <w:r>
        <w:rPr>
          <w:rFonts w:hint="eastAsia" w:ascii="宋体" w:hAnsi="宋体"/>
          <w:szCs w:val="21"/>
        </w:rPr>
        <w:t>义务。</w:t>
      </w:r>
    </w:p>
    <w:p w14:paraId="37E3732F">
      <w:pPr>
        <w:pageBreakBefore w:val="0"/>
        <w:spacing w:line="420" w:lineRule="exact"/>
        <w:ind w:firstLine="420"/>
        <w:jc w:val="left"/>
        <w:rPr>
          <w:rFonts w:ascii="宋体" w:hAnsi="宋体"/>
          <w:szCs w:val="21"/>
        </w:rPr>
      </w:pPr>
      <w:r>
        <w:rPr>
          <w:rFonts w:hint="eastAsia" w:ascii="宋体" w:hAnsi="宋体"/>
          <w:szCs w:val="21"/>
        </w:rPr>
        <w:t>（5）“分包”系指中标（成交）供应商按</w:t>
      </w:r>
      <w:r>
        <w:rPr>
          <w:rFonts w:hint="eastAsia" w:ascii="仿宋" w:hAnsi="仿宋" w:eastAsia="仿宋" w:cs="仿宋"/>
          <w:color w:val="333333"/>
          <w:sz w:val="28"/>
          <w:szCs w:val="28"/>
          <w:shd w:val="clear" w:color="auto" w:fill="FFFFFF"/>
        </w:rPr>
        <w:t>询价</w:t>
      </w:r>
      <w:r>
        <w:rPr>
          <w:rFonts w:hint="eastAsia" w:ascii="宋体" w:hAnsi="宋体"/>
          <w:szCs w:val="21"/>
        </w:rPr>
        <w:t>文件、投标（响应）文件的规定，根据分包意向协议，将中标（成交）项目中的部分履约内容，分给具有相应资质条件的供应商履行合同的行为。</w:t>
      </w:r>
    </w:p>
    <w:p w14:paraId="6F6915AF">
      <w:pPr>
        <w:pageBreakBefore w:val="0"/>
        <w:tabs>
          <w:tab w:val="left" w:pos="570"/>
          <w:tab w:val="left" w:pos="9240"/>
          <w:tab w:val="left" w:pos="9555"/>
        </w:tabs>
        <w:spacing w:line="420" w:lineRule="exact"/>
        <w:ind w:firstLine="420"/>
        <w:jc w:val="left"/>
        <w:rPr>
          <w:rFonts w:ascii="宋体" w:hAnsi="宋体"/>
          <w:szCs w:val="21"/>
        </w:rPr>
      </w:pPr>
      <w:r>
        <w:rPr>
          <w:rFonts w:hint="eastAsia" w:ascii="宋体" w:hAnsi="宋体"/>
          <w:szCs w:val="21"/>
        </w:rPr>
        <w:t>（6）“联合体”系指由两个以上的自然人、法人或者非法人组织组成，以一个供应商的身份共同参加政府采购的主体。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hint="eastAsia" w:ascii="宋体" w:hAnsi="宋体"/>
          <w:b/>
          <w:bCs/>
          <w:szCs w:val="21"/>
        </w:rPr>
        <w:t>政府采购合同专用条款</w:t>
      </w:r>
      <w:r>
        <w:rPr>
          <w:rFonts w:hint="eastAsia" w:ascii="宋体" w:hAnsi="宋体"/>
          <w:szCs w:val="21"/>
        </w:rPr>
        <w:t>】。</w:t>
      </w:r>
    </w:p>
    <w:p w14:paraId="175E1ACC">
      <w:pPr>
        <w:pageBreakBefore w:val="0"/>
        <w:tabs>
          <w:tab w:val="left" w:pos="570"/>
          <w:tab w:val="left" w:pos="9240"/>
          <w:tab w:val="left" w:pos="9555"/>
        </w:tabs>
        <w:spacing w:line="420" w:lineRule="exact"/>
        <w:ind w:firstLine="420"/>
        <w:jc w:val="left"/>
        <w:rPr>
          <w:rFonts w:ascii="宋体" w:hAnsi="宋体"/>
          <w:szCs w:val="21"/>
        </w:rPr>
      </w:pPr>
      <w:r>
        <w:rPr>
          <w:rFonts w:hint="eastAsia" w:ascii="宋体" w:hAnsi="宋体"/>
          <w:szCs w:val="21"/>
        </w:rPr>
        <w:t>（7）其他术语解释，见【</w:t>
      </w:r>
      <w:r>
        <w:rPr>
          <w:rFonts w:hint="eastAsia" w:ascii="宋体" w:hAnsi="宋体"/>
          <w:b/>
          <w:bCs/>
          <w:szCs w:val="21"/>
        </w:rPr>
        <w:t>政府采购合同专用条款</w:t>
      </w:r>
      <w:r>
        <w:rPr>
          <w:rFonts w:hint="eastAsia" w:ascii="宋体" w:hAnsi="宋体"/>
          <w:szCs w:val="21"/>
        </w:rPr>
        <w:t>】。</w:t>
      </w:r>
    </w:p>
    <w:p w14:paraId="43A30664">
      <w:pPr>
        <w:pageBreakBefore w:val="0"/>
        <w:numPr>
          <w:ilvl w:val="0"/>
          <w:numId w:val="4"/>
        </w:numPr>
        <w:spacing w:line="420" w:lineRule="exact"/>
        <w:jc w:val="left"/>
        <w:rPr>
          <w:rFonts w:ascii="宋体" w:hAnsi="宋体"/>
          <w:b/>
          <w:bCs/>
          <w:sz w:val="24"/>
        </w:rPr>
      </w:pPr>
      <w:r>
        <w:rPr>
          <w:rFonts w:hint="eastAsia" w:ascii="宋体" w:hAnsi="宋体"/>
          <w:b/>
          <w:sz w:val="24"/>
        </w:rPr>
        <w:t>合同标的及金额</w:t>
      </w:r>
    </w:p>
    <w:p w14:paraId="60DA63A6">
      <w:pPr>
        <w:pageBreakBefore w:val="0"/>
        <w:spacing w:line="420" w:lineRule="exact"/>
        <w:ind w:firstLine="420"/>
        <w:jc w:val="left"/>
        <w:rPr>
          <w:rFonts w:ascii="宋体" w:hAnsi="宋体"/>
          <w:b/>
          <w:bCs/>
          <w:i/>
          <w:iCs/>
          <w:szCs w:val="21"/>
        </w:rPr>
      </w:pPr>
      <w:r>
        <w:rPr>
          <w:rFonts w:hint="eastAsia" w:ascii="宋体" w:hAnsi="宋体"/>
          <w:szCs w:val="21"/>
        </w:rPr>
        <w:t>2.1 合同标的及金额应与中标（成交）结果一致。乙方为履行本合同而发生的所有费用均应包含在合同价款中，甲方不再另行支付</w:t>
      </w:r>
      <w:r>
        <w:rPr>
          <w:rFonts w:hint="eastAsia" w:ascii="宋体" w:hAnsi="宋体"/>
          <w:szCs w:val="21"/>
          <w:lang w:val="en"/>
        </w:rPr>
        <w:t>其他</w:t>
      </w:r>
      <w:r>
        <w:rPr>
          <w:rFonts w:hint="eastAsia" w:ascii="宋体" w:hAnsi="宋体"/>
          <w:szCs w:val="21"/>
        </w:rPr>
        <w:t>任何费用。</w:t>
      </w:r>
    </w:p>
    <w:p w14:paraId="078588B2">
      <w:pPr>
        <w:pageBreakBefore w:val="0"/>
        <w:spacing w:line="420" w:lineRule="exact"/>
        <w:jc w:val="left"/>
        <w:rPr>
          <w:rFonts w:ascii="宋体" w:hAnsi="宋体"/>
          <w:b/>
          <w:sz w:val="24"/>
        </w:rPr>
      </w:pPr>
      <w:r>
        <w:rPr>
          <w:rFonts w:hint="eastAsia" w:ascii="宋体" w:hAnsi="宋体"/>
          <w:b/>
          <w:sz w:val="24"/>
        </w:rPr>
        <w:t>3. 履行合同的时间、地点和方式</w:t>
      </w:r>
    </w:p>
    <w:p w14:paraId="1131D67A">
      <w:pPr>
        <w:pageBreakBefore w:val="0"/>
        <w:spacing w:line="420" w:lineRule="exact"/>
        <w:ind w:firstLine="420"/>
        <w:jc w:val="left"/>
        <w:rPr>
          <w:rFonts w:ascii="宋体" w:hAnsi="宋体"/>
          <w:szCs w:val="21"/>
        </w:rPr>
      </w:pPr>
      <w:r>
        <w:rPr>
          <w:rFonts w:hint="eastAsia" w:ascii="宋体" w:hAnsi="宋体"/>
          <w:szCs w:val="21"/>
        </w:rPr>
        <w:t xml:space="preserve">3.1 </w:t>
      </w:r>
      <w:r>
        <w:rPr>
          <w:rFonts w:hint="eastAsia" w:ascii="宋体" w:hAnsi="宋体" w:cs="宋体"/>
          <w:szCs w:val="21"/>
        </w:rPr>
        <w:t>乙方应当在约定的时间、地点，按照约定方式履行合同。</w:t>
      </w:r>
    </w:p>
    <w:p w14:paraId="64A35242">
      <w:pPr>
        <w:pageBreakBefore w:val="0"/>
        <w:spacing w:line="420" w:lineRule="exact"/>
        <w:jc w:val="left"/>
        <w:rPr>
          <w:rFonts w:ascii="宋体" w:hAnsi="宋体"/>
          <w:b/>
          <w:bCs/>
          <w:sz w:val="24"/>
        </w:rPr>
      </w:pPr>
      <w:r>
        <w:rPr>
          <w:rFonts w:hint="eastAsia" w:ascii="宋体" w:hAnsi="宋体"/>
          <w:b/>
          <w:bCs/>
          <w:sz w:val="24"/>
        </w:rPr>
        <w:t>4. 甲方的权利和义务</w:t>
      </w:r>
    </w:p>
    <w:p w14:paraId="5251692F">
      <w:pPr>
        <w:pageBreakBefore w:val="0"/>
        <w:spacing w:line="420" w:lineRule="exact"/>
        <w:ind w:firstLine="420"/>
        <w:jc w:val="left"/>
        <w:rPr>
          <w:rFonts w:ascii="宋体" w:hAnsi="宋体"/>
          <w:szCs w:val="21"/>
        </w:rPr>
      </w:pPr>
      <w:r>
        <w:rPr>
          <w:rFonts w:hint="eastAsia" w:ascii="宋体" w:hAnsi="宋体"/>
          <w:szCs w:val="21"/>
        </w:rPr>
        <w:t>4.1 签署合同后，甲方应确定项目负责人（或项目联系人），负责与本合同有关的事务。甲方有权对乙方的履约行为进行检查，并及时确认乙方提交的事项。甲方应当配合乙方完成相关项目实施工作。</w:t>
      </w:r>
    </w:p>
    <w:p w14:paraId="4F935CC7">
      <w:pPr>
        <w:pageBreakBefore w:val="0"/>
        <w:spacing w:line="420" w:lineRule="exact"/>
        <w:ind w:firstLine="420"/>
        <w:jc w:val="left"/>
        <w:rPr>
          <w:rFonts w:ascii="宋体" w:hAnsi="宋体"/>
          <w:szCs w:val="21"/>
        </w:rPr>
      </w:pPr>
      <w:r>
        <w:rPr>
          <w:rFonts w:hint="eastAsia" w:ascii="宋体" w:hAnsi="宋体"/>
          <w:szCs w:val="21"/>
        </w:rPr>
        <w:t>4.2 甲方有权要求乙方按时提交各阶段有关安排计划，并有权定期核对乙方提供货物数量、规格、质量等内容。甲方有权督促乙方工作并要求乙方更换不符合要求的货物。</w:t>
      </w:r>
    </w:p>
    <w:p w14:paraId="203D12D8">
      <w:pPr>
        <w:pageBreakBefore w:val="0"/>
        <w:spacing w:line="420" w:lineRule="exact"/>
        <w:ind w:firstLine="420"/>
        <w:jc w:val="left"/>
        <w:rPr>
          <w:rFonts w:ascii="宋体" w:hAnsi="宋体"/>
          <w:szCs w:val="21"/>
        </w:rPr>
      </w:pPr>
      <w:r>
        <w:rPr>
          <w:rFonts w:hint="eastAsia" w:ascii="宋体" w:hAnsi="宋体"/>
          <w:szCs w:val="21"/>
        </w:rPr>
        <w:t>4.3 甲方有权要求乙方对缺陷部分予以修复，并按合同约定享有货物保修及其他合同约定的权利。</w:t>
      </w:r>
    </w:p>
    <w:p w14:paraId="0022E338">
      <w:pPr>
        <w:pageBreakBefore w:val="0"/>
        <w:spacing w:line="420" w:lineRule="exact"/>
        <w:ind w:firstLine="420"/>
        <w:rPr>
          <w:rFonts w:eastAsia="华文楷体"/>
        </w:rPr>
      </w:pPr>
      <w:r>
        <w:rPr>
          <w:rFonts w:hint="eastAsia" w:ascii="宋体" w:hAnsi="宋体"/>
          <w:szCs w:val="21"/>
        </w:rPr>
        <w:t>4.4 甲方应当按照合同约定及时对交付的货物进行验收，</w:t>
      </w:r>
      <w:r>
        <w:rPr>
          <w:rFonts w:hint="eastAsia" w:ascii="宋体" w:hAnsi="宋体" w:cs="宋体"/>
          <w:szCs w:val="21"/>
        </w:rPr>
        <w:t>未</w:t>
      </w:r>
      <w:r>
        <w:rPr>
          <w:rFonts w:hint="eastAsia" w:ascii="宋体" w:hAnsi="宋体"/>
          <w:szCs w:val="21"/>
        </w:rPr>
        <w:t>在</w:t>
      </w:r>
      <w:r>
        <w:rPr>
          <w:rFonts w:hint="eastAsia" w:ascii="宋体" w:hAnsi="宋体" w:cs="宋体"/>
          <w:b/>
          <w:bCs/>
          <w:szCs w:val="21"/>
        </w:rPr>
        <w:t>【政府采购合同专用条款】</w:t>
      </w:r>
      <w:r>
        <w:rPr>
          <w:rFonts w:hint="eastAsia" w:ascii="宋体" w:hAnsi="宋体" w:cs="宋体"/>
          <w:szCs w:val="21"/>
        </w:rPr>
        <w:t>约定的期限内对乙方履约提出任何异议或者向乙方作出任何说明的，</w:t>
      </w:r>
      <w:r>
        <w:rPr>
          <w:rFonts w:hint="eastAsia" w:ascii="宋体" w:hAnsi="宋体"/>
          <w:szCs w:val="21"/>
        </w:rPr>
        <w:t>视为验收通过。</w:t>
      </w:r>
    </w:p>
    <w:p w14:paraId="18EB612B">
      <w:pPr>
        <w:pageBreakBefore w:val="0"/>
        <w:spacing w:line="420" w:lineRule="exact"/>
        <w:ind w:firstLine="420"/>
        <w:jc w:val="left"/>
        <w:rPr>
          <w:rFonts w:ascii="宋体" w:hAnsi="宋体"/>
          <w:szCs w:val="21"/>
        </w:rPr>
      </w:pPr>
      <w:r>
        <w:rPr>
          <w:rFonts w:hint="eastAsia" w:ascii="宋体" w:hAnsi="宋体"/>
          <w:szCs w:val="21"/>
        </w:rPr>
        <w:t>4.5 甲方应当根据合同约定及时向乙方支付合同价款，不得以内部人员变更、履行内部付款流程等为由，拒绝或迟延支付。</w:t>
      </w:r>
    </w:p>
    <w:p w14:paraId="30363686">
      <w:pPr>
        <w:pageBreakBefore w:val="0"/>
        <w:spacing w:line="420" w:lineRule="exact"/>
        <w:ind w:firstLine="420"/>
        <w:jc w:val="left"/>
        <w:rPr>
          <w:rFonts w:ascii="宋体" w:hAnsi="宋体"/>
          <w:szCs w:val="21"/>
        </w:rPr>
      </w:pPr>
      <w:r>
        <w:rPr>
          <w:rFonts w:hint="eastAsia" w:ascii="宋体" w:hAnsi="宋体"/>
          <w:szCs w:val="21"/>
        </w:rPr>
        <w:t>4.6 国家法律法规规定及</w:t>
      </w:r>
      <w:r>
        <w:rPr>
          <w:rFonts w:hint="eastAsia" w:ascii="宋体" w:hAnsi="宋体" w:cs="宋体"/>
          <w:b/>
          <w:bCs/>
          <w:szCs w:val="21"/>
        </w:rPr>
        <w:t>【政府采购合同专用条款】</w:t>
      </w:r>
      <w:r>
        <w:rPr>
          <w:rFonts w:hint="eastAsia" w:ascii="宋体" w:hAnsi="宋体"/>
          <w:szCs w:val="21"/>
        </w:rPr>
        <w:t>约定应由甲方承担的其他义务和责任。</w:t>
      </w:r>
    </w:p>
    <w:p w14:paraId="6ED3AB5D">
      <w:pPr>
        <w:pageBreakBefore w:val="0"/>
        <w:spacing w:line="420" w:lineRule="exact"/>
        <w:jc w:val="left"/>
        <w:rPr>
          <w:rFonts w:ascii="宋体" w:hAnsi="宋体"/>
          <w:b/>
          <w:bCs/>
          <w:sz w:val="24"/>
        </w:rPr>
      </w:pPr>
      <w:r>
        <w:rPr>
          <w:rFonts w:hint="eastAsia" w:ascii="宋体" w:hAnsi="宋体"/>
          <w:b/>
          <w:bCs/>
          <w:sz w:val="24"/>
        </w:rPr>
        <w:t>5. 乙方的权利和义务</w:t>
      </w:r>
    </w:p>
    <w:p w14:paraId="2A86B9C7">
      <w:pPr>
        <w:pageBreakBefore w:val="0"/>
        <w:spacing w:line="420" w:lineRule="exact"/>
        <w:ind w:firstLine="420"/>
        <w:jc w:val="left"/>
        <w:rPr>
          <w:rFonts w:ascii="宋体" w:hAnsi="宋体"/>
          <w:szCs w:val="21"/>
        </w:rPr>
      </w:pPr>
      <w:r>
        <w:rPr>
          <w:rFonts w:hint="eastAsia" w:ascii="宋体" w:hAnsi="宋体"/>
          <w:szCs w:val="21"/>
        </w:rPr>
        <w:t>5.1 签署合同后，乙方应确定项目负责人（或项目联系人），负责与本合同有关的事务。</w:t>
      </w:r>
    </w:p>
    <w:p w14:paraId="061491A9">
      <w:pPr>
        <w:pageBreakBefore w:val="0"/>
        <w:spacing w:line="420" w:lineRule="exact"/>
        <w:ind w:firstLine="420"/>
        <w:jc w:val="left"/>
        <w:rPr>
          <w:rFonts w:ascii="宋体" w:hAnsi="宋体"/>
          <w:szCs w:val="21"/>
        </w:rPr>
      </w:pPr>
      <w:r>
        <w:rPr>
          <w:rFonts w:hint="eastAsia" w:ascii="宋体" w:hAnsi="宋体"/>
          <w:szCs w:val="21"/>
        </w:rPr>
        <w:t>5.2 乙方应按照合同要求履约，充分合理安排，确保提供的货物及相关服务符合合同有关要求。接受项目行业管理部门及政府有关部门的指导，配合甲方的履约检查及验收，并负责项目实施过程中的所有协调工作。</w:t>
      </w:r>
    </w:p>
    <w:p w14:paraId="048D21C6">
      <w:pPr>
        <w:pStyle w:val="13"/>
        <w:pageBreakBefore w:val="0"/>
        <w:spacing w:after="0" w:line="420" w:lineRule="exact"/>
        <w:ind w:firstLine="370"/>
        <w:rPr>
          <w:rFonts w:ascii="宋体" w:hAnsi="宋体" w:cs="宋体"/>
          <w:szCs w:val="21"/>
        </w:rPr>
      </w:pPr>
      <w:r>
        <w:rPr>
          <w:rFonts w:hint="eastAsia" w:ascii="宋体" w:hAnsi="宋体"/>
          <w:szCs w:val="21"/>
        </w:rPr>
        <w:t>5.3乙方有权</w:t>
      </w:r>
      <w:r>
        <w:rPr>
          <w:rFonts w:hint="eastAsia" w:ascii="宋体" w:hAnsi="宋体" w:cs="宋体"/>
          <w:szCs w:val="21"/>
        </w:rPr>
        <w:t>根据合同约定向甲方收取合同价款。</w:t>
      </w:r>
    </w:p>
    <w:p w14:paraId="2A0B9313">
      <w:pPr>
        <w:pStyle w:val="13"/>
        <w:pageBreakBefore w:val="0"/>
        <w:spacing w:after="0" w:line="420" w:lineRule="exact"/>
        <w:ind w:firstLine="370"/>
        <w:rPr>
          <w:rFonts w:ascii="宋体" w:hAnsi="宋体" w:cs="宋体"/>
          <w:szCs w:val="21"/>
        </w:rPr>
      </w:pPr>
      <w:r>
        <w:rPr>
          <w:rFonts w:hint="eastAsia" w:ascii="宋体" w:hAnsi="宋体"/>
          <w:szCs w:val="21"/>
        </w:rPr>
        <w:t>5.4</w:t>
      </w:r>
      <w:r>
        <w:rPr>
          <w:rFonts w:hint="eastAsia" w:ascii="宋体" w:hAnsi="宋体" w:cs="宋体"/>
          <w:szCs w:val="21"/>
        </w:rPr>
        <w:t>国家法律法规规定</w:t>
      </w:r>
      <w:r>
        <w:rPr>
          <w:rFonts w:hint="eastAsia" w:ascii="宋体" w:hAnsi="宋体"/>
          <w:szCs w:val="21"/>
        </w:rPr>
        <w:t>及</w:t>
      </w:r>
      <w:r>
        <w:rPr>
          <w:rFonts w:hint="eastAsia" w:ascii="宋体" w:hAnsi="宋体" w:cs="宋体"/>
          <w:b/>
          <w:bCs/>
          <w:szCs w:val="21"/>
        </w:rPr>
        <w:t>【政府采购合同专用条款】</w:t>
      </w:r>
      <w:r>
        <w:rPr>
          <w:rFonts w:hint="eastAsia" w:ascii="宋体" w:hAnsi="宋体" w:cs="宋体"/>
          <w:szCs w:val="21"/>
        </w:rPr>
        <w:t>约定应由乙方承担的其他义务和责任。</w:t>
      </w:r>
    </w:p>
    <w:p w14:paraId="4094FF74">
      <w:pPr>
        <w:pageBreakBefore w:val="0"/>
        <w:numPr>
          <w:ilvl w:val="0"/>
          <w:numId w:val="5"/>
        </w:numPr>
        <w:spacing w:line="420" w:lineRule="exact"/>
        <w:jc w:val="left"/>
        <w:rPr>
          <w:rFonts w:ascii="宋体" w:hAnsi="宋体"/>
          <w:b/>
          <w:bCs/>
          <w:sz w:val="24"/>
        </w:rPr>
      </w:pPr>
      <w:r>
        <w:rPr>
          <w:rFonts w:hint="eastAsia" w:ascii="宋体" w:hAnsi="宋体"/>
          <w:b/>
          <w:bCs/>
          <w:sz w:val="24"/>
        </w:rPr>
        <w:t>合同履行</w:t>
      </w:r>
    </w:p>
    <w:p w14:paraId="672B1C6F">
      <w:pPr>
        <w:pageBreakBefore w:val="0"/>
        <w:spacing w:line="420" w:lineRule="exact"/>
        <w:ind w:firstLine="420"/>
        <w:jc w:val="left"/>
        <w:rPr>
          <w:rFonts w:ascii="宋体" w:hAnsi="宋体"/>
          <w:szCs w:val="21"/>
        </w:rPr>
      </w:pPr>
      <w:r>
        <w:rPr>
          <w:rFonts w:hint="eastAsia" w:ascii="宋体" w:hAnsi="宋体"/>
          <w:szCs w:val="21"/>
        </w:rPr>
        <w:t>6.1 甲乙双方应当按照</w:t>
      </w:r>
      <w:r>
        <w:rPr>
          <w:rFonts w:hint="eastAsia" w:ascii="宋体" w:hAnsi="宋体" w:cs="宋体"/>
          <w:b/>
          <w:bCs/>
          <w:szCs w:val="21"/>
        </w:rPr>
        <w:t>【政府采购合同专用条款】</w:t>
      </w:r>
      <w:r>
        <w:rPr>
          <w:rFonts w:hint="eastAsia" w:ascii="宋体" w:hAnsi="宋体"/>
          <w:szCs w:val="21"/>
        </w:rPr>
        <w:t>约定顺序履行合同义务；如果没有先后顺序的，应当同时履行。</w:t>
      </w:r>
    </w:p>
    <w:p w14:paraId="5543DB62">
      <w:pPr>
        <w:pageBreakBefore w:val="0"/>
        <w:spacing w:line="420" w:lineRule="exact"/>
        <w:ind w:firstLine="420"/>
        <w:jc w:val="left"/>
      </w:pPr>
      <w:r>
        <w:rPr>
          <w:rFonts w:hint="eastAsia" w:ascii="宋体" w:hAnsi="宋体"/>
          <w:szCs w:val="21"/>
        </w:rPr>
        <w:t>6.2 甲乙双方按照合同约定顺序履行合同义务时，应当先履行一方未履行的，后履行一方有权拒绝其履行请求。先履行一方履行不符合约定的，后履行一方有权拒绝其相应的履行请求。</w:t>
      </w:r>
    </w:p>
    <w:p w14:paraId="5CE28543">
      <w:pPr>
        <w:pageBreakBefore w:val="0"/>
        <w:spacing w:line="420" w:lineRule="exact"/>
        <w:jc w:val="left"/>
        <w:rPr>
          <w:rFonts w:ascii="宋体" w:hAnsi="宋体"/>
          <w:b/>
          <w:bCs/>
          <w:sz w:val="24"/>
        </w:rPr>
      </w:pPr>
      <w:r>
        <w:rPr>
          <w:rFonts w:hint="eastAsia" w:ascii="宋体" w:hAnsi="宋体"/>
          <w:b/>
          <w:bCs/>
          <w:sz w:val="24"/>
        </w:rPr>
        <w:t>7. 货物包装、运输、保险和交付要求</w:t>
      </w:r>
    </w:p>
    <w:p w14:paraId="3BB361ED">
      <w:pPr>
        <w:pageBreakBefore w:val="0"/>
        <w:spacing w:line="420" w:lineRule="exact"/>
        <w:ind w:firstLine="420"/>
        <w:jc w:val="left"/>
        <w:rPr>
          <w:rFonts w:ascii="宋体" w:hAnsi="宋体"/>
          <w:szCs w:val="21"/>
        </w:rPr>
      </w:pPr>
      <w:r>
        <w:rPr>
          <w:rFonts w:hint="eastAsia" w:ascii="宋体" w:hAnsi="宋体"/>
          <w:szCs w:val="21"/>
        </w:rPr>
        <w:t>7.1 本合同</w:t>
      </w:r>
      <w:r>
        <w:rPr>
          <w:rFonts w:hint="eastAsia" w:ascii="宋体" w:hAnsi="宋体"/>
          <w:bCs/>
          <w:szCs w:val="21"/>
        </w:rPr>
        <w:t>涉及商品包装、快递包装的，</w:t>
      </w:r>
      <w:r>
        <w:rPr>
          <w:rFonts w:hint="eastAsia" w:ascii="宋体" w:hAnsi="宋体"/>
          <w:szCs w:val="21"/>
        </w:rPr>
        <w:t>除</w:t>
      </w:r>
      <w:r>
        <w:rPr>
          <w:rFonts w:hint="eastAsia" w:ascii="宋体" w:hAnsi="宋体"/>
          <w:b/>
          <w:szCs w:val="21"/>
        </w:rPr>
        <w:t>【政府采购合同专用条款】</w:t>
      </w:r>
      <w:r>
        <w:rPr>
          <w:rFonts w:hint="eastAsia" w:ascii="宋体" w:hAnsi="宋体"/>
          <w:bCs/>
          <w:szCs w:val="21"/>
        </w:rPr>
        <w:t>另有约定外，</w:t>
      </w:r>
      <w:r>
        <w:rPr>
          <w:rFonts w:hint="eastAsia" w:ascii="宋体" w:hAnsi="宋体"/>
          <w:szCs w:val="21"/>
        </w:rPr>
        <w:t>包装应适应远距离运输、防潮、防震、防锈和防野蛮装卸等要求，确保货物安全无损地运抵</w:t>
      </w:r>
      <w:r>
        <w:rPr>
          <w:rFonts w:hint="eastAsia" w:ascii="宋体" w:hAnsi="宋体"/>
          <w:b/>
          <w:szCs w:val="21"/>
        </w:rPr>
        <w:t>【政府采购合同专用条款】</w:t>
      </w:r>
      <w:r>
        <w:rPr>
          <w:rFonts w:hint="eastAsia" w:ascii="宋体" w:hAnsi="宋体"/>
          <w:bCs/>
          <w:szCs w:val="21"/>
        </w:rPr>
        <w:t>约定的</w:t>
      </w:r>
      <w:r>
        <w:rPr>
          <w:rFonts w:hint="eastAsia" w:ascii="宋体" w:hAnsi="宋体"/>
          <w:szCs w:val="21"/>
        </w:rPr>
        <w:t>指定现场。</w:t>
      </w:r>
    </w:p>
    <w:p w14:paraId="051B8F36">
      <w:pPr>
        <w:pageBreakBefore w:val="0"/>
        <w:spacing w:line="420" w:lineRule="exact"/>
        <w:ind w:firstLine="420"/>
        <w:jc w:val="left"/>
        <w:rPr>
          <w:rFonts w:ascii="宋体" w:hAnsi="宋体"/>
          <w:szCs w:val="21"/>
        </w:rPr>
      </w:pPr>
      <w:r>
        <w:rPr>
          <w:rFonts w:hint="eastAsia" w:ascii="宋体" w:hAnsi="宋体"/>
          <w:szCs w:val="21"/>
        </w:rPr>
        <w:t>7.2 除</w:t>
      </w:r>
      <w:r>
        <w:rPr>
          <w:rFonts w:hint="eastAsia" w:ascii="宋体" w:hAnsi="宋体"/>
          <w:b/>
          <w:szCs w:val="21"/>
        </w:rPr>
        <w:t>【政府采购合同专用条款】</w:t>
      </w:r>
      <w:r>
        <w:rPr>
          <w:rFonts w:hint="eastAsia" w:ascii="宋体" w:hAnsi="宋体"/>
          <w:bCs/>
          <w:szCs w:val="21"/>
        </w:rPr>
        <w:t>另有约定外，</w:t>
      </w:r>
      <w:r>
        <w:rPr>
          <w:rFonts w:hint="eastAsia" w:ascii="宋体" w:hAnsi="宋体"/>
          <w:szCs w:val="21"/>
        </w:rPr>
        <w:t>乙方负责办理将货物运抵本合同规定的交货地点，并装卸、交付至甲方的一切运输事项，相关费用应包含在合同价款中。</w:t>
      </w:r>
    </w:p>
    <w:p w14:paraId="53EDCAB1">
      <w:pPr>
        <w:pageBreakBefore w:val="0"/>
        <w:spacing w:line="420" w:lineRule="exact"/>
        <w:ind w:firstLine="420"/>
        <w:jc w:val="left"/>
        <w:rPr>
          <w:rFonts w:ascii="宋体" w:hAnsi="宋体"/>
          <w:szCs w:val="21"/>
        </w:rPr>
      </w:pPr>
      <w:r>
        <w:rPr>
          <w:rFonts w:hint="eastAsia" w:ascii="宋体" w:hAnsi="宋体"/>
          <w:szCs w:val="21"/>
        </w:rPr>
        <w:t>7.3 货物保险要求按</w:t>
      </w:r>
      <w:r>
        <w:rPr>
          <w:rFonts w:hint="eastAsia" w:ascii="宋体" w:hAnsi="宋体"/>
          <w:b/>
          <w:szCs w:val="21"/>
        </w:rPr>
        <w:t>【政府采购合同专用条款】</w:t>
      </w:r>
      <w:r>
        <w:rPr>
          <w:rFonts w:hint="eastAsia" w:ascii="宋体" w:hAnsi="宋体"/>
          <w:bCs/>
          <w:szCs w:val="21"/>
        </w:rPr>
        <w:t>规定执行</w:t>
      </w:r>
      <w:r>
        <w:rPr>
          <w:rFonts w:hint="eastAsia" w:ascii="宋体" w:hAnsi="宋体"/>
          <w:szCs w:val="21"/>
        </w:rPr>
        <w:t>。</w:t>
      </w:r>
    </w:p>
    <w:p w14:paraId="036F4E62">
      <w:pPr>
        <w:pageBreakBefore w:val="0"/>
        <w:spacing w:line="420" w:lineRule="exact"/>
        <w:ind w:firstLine="420"/>
        <w:jc w:val="left"/>
        <w:rPr>
          <w:rFonts w:ascii="宋体" w:hAnsi="宋体"/>
          <w:szCs w:val="21"/>
        </w:rPr>
      </w:pPr>
      <w:r>
        <w:rPr>
          <w:rFonts w:hint="eastAsia" w:ascii="宋体" w:hAnsi="宋体"/>
          <w:szCs w:val="21"/>
        </w:rPr>
        <w:t>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p>
    <w:p w14:paraId="2A613613">
      <w:pPr>
        <w:pageBreakBefore w:val="0"/>
        <w:spacing w:line="420" w:lineRule="exact"/>
        <w:ind w:firstLine="420"/>
        <w:jc w:val="left"/>
        <w:rPr>
          <w:rFonts w:ascii="宋体" w:hAnsi="宋体"/>
          <w:szCs w:val="21"/>
        </w:rPr>
      </w:pPr>
      <w:r>
        <w:rPr>
          <w:rFonts w:hint="eastAsia" w:ascii="宋体" w:hAnsi="宋体"/>
          <w:szCs w:val="21"/>
        </w:rPr>
        <w:t xml:space="preserve">7.5 </w:t>
      </w:r>
      <w:r>
        <w:rPr>
          <w:rFonts w:hint="eastAsia" w:ascii="宋体" w:hAnsi="宋体" w:cs="宋体"/>
          <w:szCs w:val="21"/>
        </w:rPr>
        <w:t>乙方在运输到达之前应提前通知甲方，并提示货物运输装卸的注意事项，甲方配合乙方做好货物的接收工作。</w:t>
      </w:r>
    </w:p>
    <w:p w14:paraId="4D3EB057">
      <w:pPr>
        <w:pStyle w:val="226"/>
        <w:pageBreakBefore w:val="0"/>
        <w:spacing w:line="420" w:lineRule="exact"/>
        <w:ind w:firstLine="420"/>
        <w:rPr>
          <w:sz w:val="21"/>
        </w:rPr>
      </w:pPr>
      <w:r>
        <w:rPr>
          <w:rFonts w:hint="eastAsia" w:ascii="宋体" w:hAnsi="宋体" w:eastAsia="宋体" w:cs="Times New Roman"/>
          <w:sz w:val="21"/>
        </w:rPr>
        <w:t>7.6 如因包装、运输问题导致货物损毁、丢失或者品质下降，甲方有权要求降价、换货、拒收部分或整批货物，由此产生的费用和损失，均由乙方承担。</w:t>
      </w:r>
    </w:p>
    <w:p w14:paraId="725773AF">
      <w:pPr>
        <w:pageBreakBefore w:val="0"/>
        <w:spacing w:line="420" w:lineRule="exact"/>
        <w:jc w:val="left"/>
        <w:rPr>
          <w:rFonts w:ascii="宋体" w:hAnsi="宋体"/>
          <w:b/>
          <w:sz w:val="24"/>
        </w:rPr>
      </w:pPr>
      <w:r>
        <w:rPr>
          <w:rFonts w:hint="eastAsia" w:ascii="宋体" w:hAnsi="宋体"/>
          <w:b/>
          <w:sz w:val="24"/>
        </w:rPr>
        <w:t>8. 质量标准和保证</w:t>
      </w:r>
    </w:p>
    <w:p w14:paraId="5782FE52">
      <w:pPr>
        <w:pStyle w:val="16"/>
        <w:pageBreakBefore w:val="0"/>
        <w:spacing w:line="420" w:lineRule="exact"/>
        <w:ind w:firstLine="420"/>
        <w:jc w:val="left"/>
        <w:rPr>
          <w:rFonts w:hAnsi="宋体"/>
          <w:b/>
        </w:rPr>
      </w:pPr>
      <w:r>
        <w:rPr>
          <w:rFonts w:hint="eastAsia" w:hAnsi="宋体"/>
        </w:rPr>
        <w:t>8.1 质量标准</w:t>
      </w:r>
    </w:p>
    <w:p w14:paraId="75D85508">
      <w:pPr>
        <w:pageBreakBefore w:val="0"/>
        <w:spacing w:line="420" w:lineRule="exact"/>
        <w:ind w:firstLine="420"/>
        <w:jc w:val="left"/>
        <w:rPr>
          <w:rFonts w:ascii="宋体" w:hAnsi="宋体"/>
          <w:szCs w:val="21"/>
        </w:rPr>
      </w:pPr>
      <w:r>
        <w:rPr>
          <w:rFonts w:hint="eastAsia" w:ascii="宋体" w:hAnsi="宋体"/>
          <w:szCs w:val="21"/>
        </w:rPr>
        <w:t>（1）本合同下提供的货物应符合合同</w:t>
      </w:r>
      <w:r>
        <w:rPr>
          <w:rFonts w:hint="eastAsia" w:ascii="宋体" w:hAnsi="宋体" w:cs="宋体"/>
          <w:szCs w:val="21"/>
        </w:rPr>
        <w:t>约定的品牌、规格型号、技术性能、配置、质量、数量等要求。</w:t>
      </w:r>
      <w:r>
        <w:rPr>
          <w:rFonts w:hint="eastAsia" w:ascii="宋体" w:hAnsi="宋体"/>
          <w:szCs w:val="21"/>
        </w:rPr>
        <w:t>质量要求不明确的，按照强制性国家标准履行；没有强制性国家标准的，按照推荐性国家标准履行；没有推荐性国家标准的，按照行业标准履行；没有国家标准、行业标准的，按照通常标准或者符合合同目的的特定标准履行。</w:t>
      </w:r>
    </w:p>
    <w:p w14:paraId="79E3576A">
      <w:pPr>
        <w:pStyle w:val="16"/>
        <w:pageBreakBefore w:val="0"/>
        <w:spacing w:line="420" w:lineRule="exact"/>
        <w:ind w:firstLine="420"/>
        <w:jc w:val="left"/>
        <w:rPr>
          <w:rFonts w:hAnsi="宋体"/>
        </w:rPr>
      </w:pPr>
      <w:r>
        <w:rPr>
          <w:rFonts w:hint="eastAsia" w:hAnsi="宋体"/>
        </w:rPr>
        <w:t>（2）采用中华人民共和国法定计量单位。</w:t>
      </w:r>
    </w:p>
    <w:p w14:paraId="485CF155">
      <w:pPr>
        <w:pageBreakBefore w:val="0"/>
        <w:spacing w:line="420" w:lineRule="exact"/>
        <w:ind w:firstLine="420"/>
        <w:jc w:val="left"/>
        <w:rPr>
          <w:rFonts w:ascii="宋体" w:hAnsi="宋体"/>
          <w:szCs w:val="21"/>
        </w:rPr>
      </w:pPr>
      <w:r>
        <w:rPr>
          <w:rFonts w:hint="eastAsia" w:ascii="宋体" w:hAnsi="宋体"/>
          <w:szCs w:val="21"/>
        </w:rPr>
        <w:t>（3）乙方所提供的货物应符合国家有关安全、环保、卫生的规定。</w:t>
      </w:r>
    </w:p>
    <w:p w14:paraId="5ECF310C">
      <w:pPr>
        <w:pageBreakBefore w:val="0"/>
        <w:spacing w:line="420" w:lineRule="exact"/>
        <w:ind w:firstLine="420"/>
        <w:jc w:val="left"/>
        <w:rPr>
          <w:rFonts w:ascii="宋体" w:hAnsi="宋体"/>
          <w:szCs w:val="21"/>
        </w:rPr>
      </w:pPr>
      <w:r>
        <w:rPr>
          <w:rFonts w:hint="eastAsia" w:ascii="宋体" w:hAnsi="宋体"/>
          <w:szCs w:val="21"/>
        </w:rPr>
        <w:t>（4）乙方应向甲方提交所提供货物的技术文件，包括相应的中文技术文件，如：产品目录、图纸、操作手册、使用说明、维护手册或服务指南等。上述文件应包装好随货物一同发运。</w:t>
      </w:r>
    </w:p>
    <w:p w14:paraId="1EE84B4A">
      <w:pPr>
        <w:pageBreakBefore w:val="0"/>
        <w:spacing w:line="420" w:lineRule="exact"/>
        <w:ind w:firstLine="420"/>
        <w:jc w:val="left"/>
        <w:rPr>
          <w:rFonts w:ascii="宋体" w:hAnsi="宋体"/>
          <w:szCs w:val="21"/>
        </w:rPr>
      </w:pPr>
      <w:r>
        <w:rPr>
          <w:rFonts w:hint="eastAsia" w:ascii="宋体" w:hAnsi="宋体"/>
          <w:szCs w:val="21"/>
        </w:rPr>
        <w:t>8.2 保证</w:t>
      </w:r>
    </w:p>
    <w:p w14:paraId="71E7F6B8">
      <w:pPr>
        <w:pageBreakBefore w:val="0"/>
        <w:spacing w:line="420" w:lineRule="exact"/>
        <w:ind w:firstLine="420"/>
        <w:jc w:val="left"/>
        <w:rPr>
          <w:rFonts w:ascii="宋体" w:hAnsi="宋体"/>
          <w:szCs w:val="21"/>
        </w:rPr>
      </w:pPr>
      <w:r>
        <w:rPr>
          <w:rFonts w:hint="eastAsia" w:ascii="宋体" w:hAnsi="宋体"/>
          <w:szCs w:val="21"/>
        </w:rPr>
        <w:t>（1）乙方应保证提供的货物完全符合合同规定的质量、规格和性能要求。乙方应保证货物在正确安装、正常使用和保养条件下，</w:t>
      </w:r>
      <w:r>
        <w:rPr>
          <w:rFonts w:hint="eastAsia" w:ascii="宋体" w:hAnsi="宋体" w:cs="宋体"/>
          <w:szCs w:val="21"/>
        </w:rPr>
        <w:t>在其使用寿命期内具备合同约定的性能</w:t>
      </w:r>
      <w:r>
        <w:rPr>
          <w:rFonts w:hint="eastAsia" w:ascii="宋体" w:hAnsi="宋体"/>
          <w:szCs w:val="21"/>
        </w:rPr>
        <w:t>。存在质量保证期的，货物最终交付验收合格后在</w:t>
      </w:r>
      <w:r>
        <w:rPr>
          <w:rFonts w:hint="eastAsia" w:ascii="宋体" w:hAnsi="宋体"/>
          <w:b/>
          <w:szCs w:val="21"/>
        </w:rPr>
        <w:t>【政府采购合同专用条款】</w:t>
      </w:r>
      <w:r>
        <w:rPr>
          <w:rFonts w:hint="eastAsia" w:ascii="宋体" w:hAnsi="宋体"/>
          <w:szCs w:val="21"/>
        </w:rPr>
        <w:t>规定或乙方书面承诺（两者以较长的为准）的质量保证期内，本保证保持有效。</w:t>
      </w:r>
    </w:p>
    <w:p w14:paraId="180636CC">
      <w:pPr>
        <w:pageBreakBefore w:val="0"/>
        <w:spacing w:line="420" w:lineRule="exact"/>
        <w:ind w:firstLine="420"/>
        <w:jc w:val="left"/>
        <w:rPr>
          <w:rFonts w:ascii="宋体" w:hAnsi="宋体"/>
          <w:szCs w:val="21"/>
        </w:rPr>
      </w:pPr>
      <w:r>
        <w:rPr>
          <w:rFonts w:hint="eastAsia" w:ascii="宋体" w:hAnsi="宋体"/>
          <w:szCs w:val="21"/>
        </w:rPr>
        <w:t>（2）在质量保证期内所发现的缺陷，甲方应尽快以书面形式通知乙方。</w:t>
      </w:r>
    </w:p>
    <w:p w14:paraId="65242324">
      <w:pPr>
        <w:pageBreakBefore w:val="0"/>
        <w:spacing w:line="420" w:lineRule="exact"/>
        <w:ind w:firstLine="420"/>
        <w:jc w:val="left"/>
        <w:rPr>
          <w:rFonts w:ascii="宋体" w:hAnsi="宋体"/>
          <w:szCs w:val="21"/>
        </w:rPr>
      </w:pPr>
      <w:r>
        <w:rPr>
          <w:rFonts w:hint="eastAsia" w:ascii="宋体" w:hAnsi="宋体"/>
          <w:szCs w:val="21"/>
        </w:rPr>
        <w:t>（3）乙方收到通知后，应在</w:t>
      </w:r>
      <w:r>
        <w:rPr>
          <w:rFonts w:hint="eastAsia" w:ascii="宋体" w:hAnsi="宋体"/>
          <w:b/>
          <w:szCs w:val="21"/>
        </w:rPr>
        <w:t>【政府采购合同专用条款】</w:t>
      </w:r>
      <w:r>
        <w:rPr>
          <w:rFonts w:hint="eastAsia" w:ascii="宋体" w:hAnsi="宋体"/>
          <w:szCs w:val="21"/>
        </w:rPr>
        <w:t>规定的响应时间内以合理的速度免费维修或更换有缺陷的货物或部件。</w:t>
      </w:r>
    </w:p>
    <w:p w14:paraId="28F7C381">
      <w:pPr>
        <w:pageBreakBefore w:val="0"/>
        <w:spacing w:line="420" w:lineRule="exact"/>
        <w:ind w:firstLine="420"/>
        <w:jc w:val="left"/>
        <w:rPr>
          <w:rFonts w:ascii="宋体" w:hAnsi="宋体"/>
          <w:szCs w:val="21"/>
        </w:rPr>
      </w:pPr>
      <w:r>
        <w:rPr>
          <w:rFonts w:hint="eastAsia" w:ascii="宋体" w:hAnsi="宋体"/>
          <w:szCs w:val="21"/>
        </w:rPr>
        <w:t>（4）在质量保证期内，如果货物的质量或规格与合同不符，或证实货物是有缺陷的，包括潜在的缺陷或使用不符合要求的材料等，甲方可以根据本合同第15.1条规定以书面形式追究乙方的违约责任。</w:t>
      </w:r>
    </w:p>
    <w:p w14:paraId="0DAB36B8">
      <w:pPr>
        <w:pageBreakBefore w:val="0"/>
        <w:spacing w:line="420" w:lineRule="exact"/>
        <w:ind w:firstLine="420"/>
        <w:jc w:val="left"/>
      </w:pPr>
      <w:r>
        <w:rPr>
          <w:rFonts w:hint="eastAsia" w:ascii="宋体" w:hAnsi="宋体"/>
          <w:szCs w:val="21"/>
        </w:rPr>
        <w:t>（5）乙方在约定的时间内未能弥补缺陷，甲方可采取必要的补救措施，但其风险和费用将由乙方承担，甲方根据合同约定对乙方行使的其他权利不受影响。</w:t>
      </w:r>
    </w:p>
    <w:p w14:paraId="2FAA0AC9">
      <w:pPr>
        <w:pageBreakBefore w:val="0"/>
        <w:spacing w:line="420" w:lineRule="exact"/>
        <w:jc w:val="left"/>
        <w:rPr>
          <w:rFonts w:ascii="宋体" w:hAnsi="宋体"/>
          <w:b/>
          <w:bCs/>
          <w:sz w:val="24"/>
        </w:rPr>
      </w:pPr>
      <w:r>
        <w:rPr>
          <w:rFonts w:hint="eastAsia" w:ascii="宋体" w:hAnsi="宋体"/>
          <w:b/>
          <w:bCs/>
          <w:sz w:val="24"/>
        </w:rPr>
        <w:t>9. 权利瑕疵担保</w:t>
      </w:r>
    </w:p>
    <w:p w14:paraId="0490EF8F">
      <w:pPr>
        <w:pageBreakBefore w:val="0"/>
        <w:spacing w:line="420" w:lineRule="exact"/>
        <w:ind w:firstLine="420"/>
        <w:jc w:val="left"/>
        <w:rPr>
          <w:rFonts w:ascii="宋体" w:hAnsi="宋体"/>
          <w:szCs w:val="21"/>
        </w:rPr>
      </w:pPr>
      <w:r>
        <w:rPr>
          <w:rFonts w:hint="eastAsia" w:ascii="宋体" w:hAnsi="宋体"/>
          <w:szCs w:val="21"/>
        </w:rPr>
        <w:t>9.1 乙方保证对其出售的货物享有合法的权利。</w:t>
      </w:r>
    </w:p>
    <w:p w14:paraId="49F9AB82">
      <w:pPr>
        <w:pageBreakBefore w:val="0"/>
        <w:spacing w:line="420" w:lineRule="exact"/>
        <w:ind w:firstLine="420"/>
        <w:jc w:val="left"/>
        <w:rPr>
          <w:rFonts w:ascii="宋体" w:hAnsi="宋体"/>
          <w:szCs w:val="21"/>
        </w:rPr>
      </w:pPr>
      <w:r>
        <w:rPr>
          <w:rFonts w:hint="eastAsia" w:ascii="宋体" w:hAnsi="宋体"/>
          <w:szCs w:val="21"/>
        </w:rPr>
        <w:t xml:space="preserve">9.2 </w:t>
      </w:r>
      <w:r>
        <w:rPr>
          <w:rFonts w:hint="eastAsia" w:ascii="宋体" w:hAnsi="宋体" w:cs="宋体"/>
          <w:szCs w:val="15"/>
        </w:rPr>
        <w:t>乙方保证在交付的货物上不存在抵押权等担保物权。</w:t>
      </w:r>
    </w:p>
    <w:p w14:paraId="58A811DB">
      <w:pPr>
        <w:pageBreakBefore w:val="0"/>
        <w:spacing w:line="420" w:lineRule="exact"/>
        <w:ind w:firstLine="420"/>
        <w:jc w:val="left"/>
        <w:rPr>
          <w:rFonts w:ascii="宋体" w:hAnsi="宋体"/>
          <w:szCs w:val="21"/>
        </w:rPr>
      </w:pPr>
      <w:r>
        <w:rPr>
          <w:rFonts w:hint="eastAsia" w:ascii="宋体" w:hAnsi="宋体"/>
          <w:szCs w:val="21"/>
        </w:rPr>
        <w:t>9.3 如甲方使用上述货物构成对第三人侵权的，则由乙方承担全部责任。</w:t>
      </w:r>
    </w:p>
    <w:p w14:paraId="0F12EC8D">
      <w:pPr>
        <w:pageBreakBefore w:val="0"/>
        <w:spacing w:line="420" w:lineRule="exact"/>
        <w:jc w:val="left"/>
      </w:pPr>
      <w:r>
        <w:rPr>
          <w:rFonts w:hint="eastAsia" w:ascii="宋体" w:hAnsi="宋体"/>
          <w:b/>
          <w:bCs/>
          <w:sz w:val="24"/>
        </w:rPr>
        <w:t>10. 知识产权保护</w:t>
      </w:r>
    </w:p>
    <w:p w14:paraId="7C154F5B">
      <w:pPr>
        <w:pageBreakBefore w:val="0"/>
        <w:spacing w:line="420" w:lineRule="exact"/>
        <w:ind w:firstLine="420"/>
        <w:jc w:val="left"/>
        <w:rPr>
          <w:rFonts w:ascii="宋体" w:hAnsi="宋体"/>
          <w:szCs w:val="21"/>
        </w:rPr>
      </w:pPr>
      <w:r>
        <w:rPr>
          <w:rFonts w:hint="eastAsia" w:ascii="宋体" w:hAnsi="宋体"/>
          <w:szCs w:val="21"/>
        </w:rPr>
        <w:t>10.1 乙方对其所销售的货物应当享有知识产权或经权利人合法授权，保证没有侵犯任何第三人的知识产权等权利。</w:t>
      </w:r>
      <w:bookmarkStart w:id="141" w:name="_Hlk163047038"/>
      <w:r>
        <w:rPr>
          <w:rFonts w:hint="eastAsia" w:ascii="宋体" w:hAnsi="宋体" w:cs="宋体"/>
          <w:szCs w:val="15"/>
        </w:rPr>
        <w:t>因违反前述约定对第三人构成侵权的，应当由乙方向第三人承担法律责任；甲方依法向第三人赔偿后，有权向乙方追偿。甲方有其他损失的，乙方应当赔偿</w:t>
      </w:r>
      <w:bookmarkEnd w:id="141"/>
      <w:r>
        <w:rPr>
          <w:rFonts w:hint="eastAsia" w:ascii="宋体" w:hAnsi="宋体"/>
          <w:szCs w:val="21"/>
        </w:rPr>
        <w:t>。</w:t>
      </w:r>
    </w:p>
    <w:p w14:paraId="221B951E">
      <w:pPr>
        <w:pageBreakBefore w:val="0"/>
        <w:spacing w:line="420" w:lineRule="exact"/>
        <w:jc w:val="left"/>
        <w:rPr>
          <w:rFonts w:ascii="宋体" w:hAnsi="宋体"/>
          <w:b/>
          <w:bCs/>
          <w:sz w:val="24"/>
        </w:rPr>
      </w:pPr>
      <w:r>
        <w:rPr>
          <w:rFonts w:hint="eastAsia" w:ascii="宋体" w:hAnsi="宋体"/>
          <w:b/>
          <w:bCs/>
          <w:sz w:val="24"/>
        </w:rPr>
        <w:t>11. 保密义务</w:t>
      </w:r>
    </w:p>
    <w:p w14:paraId="7FA805B4">
      <w:pPr>
        <w:pageBreakBefore w:val="0"/>
        <w:spacing w:line="420" w:lineRule="exact"/>
        <w:ind w:firstLine="420"/>
        <w:jc w:val="left"/>
        <w:rPr>
          <w:rFonts w:ascii="宋体" w:hAnsi="宋体" w:cs="宋体"/>
          <w:szCs w:val="15"/>
        </w:rPr>
      </w:pPr>
      <w:r>
        <w:rPr>
          <w:rFonts w:hint="eastAsia" w:ascii="宋体" w:hAnsi="宋体" w:cs="宋体"/>
          <w:szCs w:val="15"/>
        </w:rPr>
        <w:t>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hint="eastAsia" w:ascii="宋体" w:hAnsi="宋体" w:cs="宋体"/>
          <w:b/>
          <w:bCs/>
          <w:szCs w:val="15"/>
        </w:rPr>
        <w:t>【政府采购合同专用条款】</w:t>
      </w:r>
      <w:r>
        <w:rPr>
          <w:rFonts w:hint="eastAsia" w:ascii="宋体" w:hAnsi="宋体" w:cs="宋体"/>
          <w:szCs w:val="15"/>
        </w:rPr>
        <w:t>中约定。</w:t>
      </w:r>
    </w:p>
    <w:p w14:paraId="139ABF58">
      <w:pPr>
        <w:pageBreakBefore w:val="0"/>
        <w:spacing w:line="420" w:lineRule="exact"/>
        <w:jc w:val="left"/>
        <w:rPr>
          <w:rFonts w:ascii="宋体" w:hAnsi="宋体"/>
          <w:b/>
          <w:bCs/>
          <w:sz w:val="24"/>
        </w:rPr>
      </w:pPr>
      <w:r>
        <w:rPr>
          <w:rFonts w:hint="eastAsia" w:ascii="宋体" w:hAnsi="宋体"/>
          <w:b/>
          <w:bCs/>
          <w:sz w:val="24"/>
        </w:rPr>
        <w:t>12. 合同价款支付</w:t>
      </w:r>
    </w:p>
    <w:p w14:paraId="5541C131">
      <w:pPr>
        <w:pageBreakBefore w:val="0"/>
        <w:spacing w:line="420" w:lineRule="exact"/>
        <w:ind w:firstLine="420"/>
        <w:jc w:val="left"/>
        <w:rPr>
          <w:rFonts w:hint="eastAsia" w:ascii="宋体" w:hAnsi="宋体"/>
          <w:szCs w:val="21"/>
        </w:rPr>
      </w:pPr>
      <w:r>
        <w:rPr>
          <w:rFonts w:hint="eastAsia" w:ascii="宋体" w:hAnsi="宋体"/>
          <w:szCs w:val="21"/>
        </w:rPr>
        <w:t>12.1 合同价款支付按照国库集中支付制度及财政管理相关规定执行。</w:t>
      </w:r>
    </w:p>
    <w:p w14:paraId="12FAD856">
      <w:pPr>
        <w:pageBreakBefore w:val="0"/>
        <w:spacing w:line="420" w:lineRule="exact"/>
        <w:ind w:firstLine="420"/>
        <w:jc w:val="left"/>
      </w:pPr>
      <w:r>
        <w:rPr>
          <w:rFonts w:hint="eastAsia" w:ascii="宋体" w:hAnsi="宋体"/>
          <w:b w:val="0"/>
          <w:bCs w:val="0"/>
          <w:sz w:val="21"/>
          <w:szCs w:val="21"/>
        </w:rPr>
        <w:t>12.2 对于满足合同约定支付条件的，甲方原则上应当自收到发票后10个工作日内将资金支付到合同约定的乙方账户，不得以机构变动、人员更替、政策调整等为由迟延付款，不得将</w:t>
      </w:r>
      <w:r>
        <w:rPr>
          <w:rFonts w:hint="eastAsia" w:ascii="仿宋" w:hAnsi="仿宋" w:eastAsia="仿宋" w:cs="仿宋"/>
          <w:color w:val="333333"/>
          <w:sz w:val="28"/>
          <w:szCs w:val="28"/>
          <w:shd w:val="clear" w:color="auto" w:fill="FFFFFF"/>
        </w:rPr>
        <w:t>询价</w:t>
      </w:r>
      <w:r>
        <w:rPr>
          <w:rFonts w:hint="eastAsia" w:ascii="宋体" w:hAnsi="宋体"/>
          <w:b w:val="0"/>
          <w:bCs w:val="0"/>
          <w:sz w:val="21"/>
          <w:szCs w:val="21"/>
        </w:rPr>
        <w:t>文件和合同中未规定的义务作为向乙方付款的条件。具体合同价款支付时间在【</w:t>
      </w:r>
      <w:r>
        <w:rPr>
          <w:rFonts w:hint="eastAsia" w:ascii="宋体" w:hAnsi="宋体"/>
          <w:sz w:val="21"/>
          <w:szCs w:val="21"/>
        </w:rPr>
        <w:t>政府采购合同专用条款</w:t>
      </w:r>
      <w:r>
        <w:rPr>
          <w:rFonts w:hint="eastAsia" w:ascii="宋体" w:hAnsi="宋体"/>
          <w:b w:val="0"/>
          <w:bCs w:val="0"/>
          <w:sz w:val="21"/>
          <w:szCs w:val="21"/>
        </w:rPr>
        <w:t>】中约定。</w:t>
      </w:r>
    </w:p>
    <w:p w14:paraId="4D97C1FE">
      <w:pPr>
        <w:pStyle w:val="13"/>
        <w:pageBreakBefore w:val="0"/>
        <w:spacing w:after="0" w:line="420" w:lineRule="exact"/>
        <w:rPr>
          <w:rFonts w:ascii="宋体" w:hAnsi="宋体"/>
          <w:b/>
          <w:bCs/>
          <w:sz w:val="24"/>
          <w:szCs w:val="24"/>
        </w:rPr>
      </w:pPr>
      <w:r>
        <w:rPr>
          <w:rFonts w:hint="eastAsia" w:ascii="宋体" w:hAnsi="宋体"/>
          <w:b/>
          <w:bCs/>
          <w:sz w:val="24"/>
          <w:szCs w:val="24"/>
        </w:rPr>
        <w:t>13. 履约保证金</w:t>
      </w:r>
    </w:p>
    <w:p w14:paraId="653830C7">
      <w:pPr>
        <w:pageBreakBefore w:val="0"/>
        <w:spacing w:line="420" w:lineRule="exact"/>
        <w:ind w:firstLine="420"/>
        <w:jc w:val="left"/>
        <w:rPr>
          <w:rFonts w:ascii="宋体" w:hAnsi="宋体"/>
          <w:szCs w:val="21"/>
        </w:rPr>
      </w:pPr>
      <w:r>
        <w:rPr>
          <w:rFonts w:hint="eastAsia" w:ascii="宋体" w:hAnsi="宋体"/>
          <w:szCs w:val="21"/>
        </w:rPr>
        <w:t xml:space="preserve">13.1 </w:t>
      </w:r>
      <w:r>
        <w:rPr>
          <w:rFonts w:hint="eastAsia" w:ascii="宋体" w:hAnsi="宋体" w:cs="宋体"/>
          <w:szCs w:val="15"/>
        </w:rPr>
        <w:t>乙方应当以支票、汇票、本票或者金融机构、担保机构出具的保函等非现金形式提交。</w:t>
      </w:r>
    </w:p>
    <w:p w14:paraId="57D484B6">
      <w:pPr>
        <w:pageBreakBefore w:val="0"/>
        <w:spacing w:line="420" w:lineRule="exact"/>
        <w:ind w:firstLine="420"/>
        <w:jc w:val="left"/>
        <w:rPr>
          <w:rFonts w:ascii="宋体" w:hAnsi="宋体"/>
          <w:szCs w:val="21"/>
        </w:rPr>
      </w:pPr>
      <w:r>
        <w:rPr>
          <w:rFonts w:hint="eastAsia" w:ascii="宋体" w:hAnsi="宋体"/>
          <w:szCs w:val="21"/>
        </w:rPr>
        <w:t>13.2 如果乙方出现</w:t>
      </w:r>
      <w:r>
        <w:rPr>
          <w:rFonts w:hint="eastAsia" w:ascii="宋体" w:hAnsi="宋体" w:cs="宋体"/>
          <w:b/>
          <w:bCs/>
          <w:szCs w:val="15"/>
        </w:rPr>
        <w:t>【政府采购合同专用条款】</w:t>
      </w:r>
      <w:r>
        <w:rPr>
          <w:rFonts w:hint="eastAsia" w:ascii="宋体" w:hAnsi="宋体" w:cs="宋体"/>
          <w:szCs w:val="15"/>
        </w:rPr>
        <w:t>约定情形的</w:t>
      </w:r>
      <w:r>
        <w:rPr>
          <w:rFonts w:hint="eastAsia" w:ascii="宋体" w:hAnsi="宋体"/>
          <w:szCs w:val="21"/>
        </w:rPr>
        <w:t>，履约保证金不予退还；如果乙方未能按合同约定全面履行义务，甲方有权从履约保证金中取得补偿或赔偿，且不影响甲方要求乙方承担合同约定的超过履约保证金的违约责任的权利。</w:t>
      </w:r>
    </w:p>
    <w:p w14:paraId="034BD82E">
      <w:pPr>
        <w:pageBreakBefore w:val="0"/>
        <w:spacing w:line="420" w:lineRule="exact"/>
        <w:ind w:firstLine="420"/>
      </w:pPr>
      <w:r>
        <w:rPr>
          <w:rFonts w:hint="eastAsia" w:ascii="宋体" w:hAnsi="宋体"/>
          <w:szCs w:val="21"/>
        </w:rPr>
        <w:t>13.3 甲方在项目通过验收后按照</w:t>
      </w:r>
      <w:r>
        <w:rPr>
          <w:rFonts w:hint="eastAsia" w:ascii="宋体" w:hAnsi="宋体"/>
          <w:b/>
          <w:szCs w:val="21"/>
        </w:rPr>
        <w:t>【政府采购合同专用条款】</w:t>
      </w:r>
      <w:r>
        <w:rPr>
          <w:rFonts w:hint="eastAsia" w:ascii="宋体" w:hAnsi="宋体"/>
          <w:szCs w:val="21"/>
        </w:rPr>
        <w:t>规定的时间内将履约保证金退还乙方；逾期退还的，乙方可要求甲方支付违约金，违约金按照</w:t>
      </w:r>
      <w:r>
        <w:rPr>
          <w:rFonts w:hint="eastAsia" w:ascii="宋体" w:hAnsi="宋体"/>
          <w:b/>
          <w:szCs w:val="21"/>
        </w:rPr>
        <w:t>【政府采购合同专用条款】</w:t>
      </w:r>
      <w:r>
        <w:rPr>
          <w:rFonts w:hint="eastAsia" w:ascii="宋体" w:hAnsi="宋体"/>
          <w:szCs w:val="21"/>
        </w:rPr>
        <w:t>规定支付。</w:t>
      </w:r>
    </w:p>
    <w:p w14:paraId="5643E833">
      <w:pPr>
        <w:pageBreakBefore w:val="0"/>
        <w:spacing w:line="420" w:lineRule="exact"/>
        <w:jc w:val="left"/>
        <w:rPr>
          <w:rFonts w:ascii="宋体" w:hAnsi="宋体"/>
          <w:b/>
          <w:sz w:val="24"/>
        </w:rPr>
      </w:pPr>
      <w:r>
        <w:rPr>
          <w:rFonts w:hint="eastAsia" w:ascii="宋体" w:hAnsi="宋体"/>
          <w:b/>
          <w:bCs/>
          <w:sz w:val="24"/>
        </w:rPr>
        <w:t xml:space="preserve">14. </w:t>
      </w:r>
      <w:r>
        <w:rPr>
          <w:rFonts w:hint="eastAsia"/>
          <w:b/>
          <w:sz w:val="24"/>
        </w:rPr>
        <w:t>售后</w:t>
      </w:r>
      <w:r>
        <w:rPr>
          <w:rFonts w:hint="eastAsia" w:ascii="宋体" w:hAnsi="宋体"/>
          <w:b/>
          <w:sz w:val="24"/>
        </w:rPr>
        <w:t>服务</w:t>
      </w:r>
    </w:p>
    <w:p w14:paraId="0F2548FD">
      <w:pPr>
        <w:pageBreakBefore w:val="0"/>
        <w:spacing w:line="420" w:lineRule="exact"/>
        <w:ind w:firstLine="420"/>
        <w:jc w:val="left"/>
        <w:rPr>
          <w:rFonts w:ascii="宋体" w:hAnsi="宋体"/>
          <w:szCs w:val="21"/>
        </w:rPr>
      </w:pPr>
      <w:r>
        <w:rPr>
          <w:rFonts w:hint="eastAsia" w:ascii="宋体" w:hAnsi="宋体"/>
          <w:szCs w:val="21"/>
        </w:rPr>
        <w:t>14.1 除项目不涉及或采购活动中明确约定无须承担外，乙方还应提供下列服务：</w:t>
      </w:r>
    </w:p>
    <w:p w14:paraId="31E9DF55">
      <w:pPr>
        <w:pageBreakBefore w:val="0"/>
        <w:spacing w:line="420" w:lineRule="exact"/>
        <w:ind w:firstLine="420"/>
        <w:jc w:val="left"/>
        <w:rPr>
          <w:rFonts w:ascii="宋体" w:hAnsi="宋体"/>
          <w:szCs w:val="21"/>
        </w:rPr>
      </w:pPr>
      <w:r>
        <w:rPr>
          <w:rFonts w:hint="eastAsia" w:ascii="宋体" w:hAnsi="宋体"/>
          <w:szCs w:val="21"/>
        </w:rPr>
        <w:t>（1）货物的现场移动、安装、调试、启动监督及技术支持；</w:t>
      </w:r>
    </w:p>
    <w:p w14:paraId="3C56075B">
      <w:pPr>
        <w:pageBreakBefore w:val="0"/>
        <w:spacing w:line="420" w:lineRule="exact"/>
        <w:ind w:firstLine="420"/>
        <w:jc w:val="left"/>
        <w:rPr>
          <w:rFonts w:ascii="宋体" w:hAnsi="宋体"/>
          <w:szCs w:val="21"/>
        </w:rPr>
      </w:pPr>
      <w:r>
        <w:rPr>
          <w:rFonts w:hint="eastAsia" w:ascii="宋体" w:hAnsi="宋体"/>
          <w:szCs w:val="21"/>
        </w:rPr>
        <w:t>（2）提供货物组装和维修所需的专用工具和辅助材料；</w:t>
      </w:r>
    </w:p>
    <w:p w14:paraId="78FD9094">
      <w:pPr>
        <w:pageBreakBefore w:val="0"/>
        <w:spacing w:line="420" w:lineRule="exact"/>
        <w:ind w:firstLine="420"/>
        <w:jc w:val="left"/>
        <w:rPr>
          <w:rFonts w:ascii="宋体" w:hAnsi="宋体"/>
          <w:szCs w:val="21"/>
        </w:rPr>
      </w:pPr>
      <w:r>
        <w:rPr>
          <w:rFonts w:hint="eastAsia" w:ascii="宋体" w:hAnsi="宋体"/>
          <w:szCs w:val="21"/>
        </w:rPr>
        <w:t>（3）在</w:t>
      </w:r>
      <w:r>
        <w:rPr>
          <w:rFonts w:hint="eastAsia" w:ascii="宋体" w:hAnsi="宋体" w:cs="宋体"/>
          <w:b/>
          <w:bCs/>
          <w:szCs w:val="15"/>
        </w:rPr>
        <w:t>【政府采购合同专用条款】</w:t>
      </w:r>
      <w:r>
        <w:rPr>
          <w:rFonts w:hint="eastAsia" w:ascii="宋体" w:hAnsi="宋体"/>
          <w:szCs w:val="21"/>
        </w:rPr>
        <w:t>约定的期限内对所有的货物实施运行监督、维修，但前提条件是该服务并不能免除乙方在质量保证期内所承担的义务；</w:t>
      </w:r>
    </w:p>
    <w:p w14:paraId="61B4C85C">
      <w:pPr>
        <w:pageBreakBefore w:val="0"/>
        <w:spacing w:line="420" w:lineRule="exact"/>
        <w:ind w:firstLine="420"/>
        <w:jc w:val="left"/>
        <w:rPr>
          <w:rFonts w:ascii="宋体" w:hAnsi="宋体"/>
          <w:szCs w:val="21"/>
        </w:rPr>
      </w:pPr>
      <w:r>
        <w:rPr>
          <w:rFonts w:hint="eastAsia" w:ascii="宋体" w:hAnsi="宋体"/>
          <w:szCs w:val="21"/>
        </w:rPr>
        <w:t>（4）在制造商所在地或指定现场就货物的安装、启动、运营、维护、废弃处置等对甲方操作人员进行培训</w:t>
      </w:r>
      <w:r>
        <w:rPr>
          <w:rFonts w:hint="eastAsia" w:ascii="宋体" w:hAnsi="宋体" w:cs="宋体"/>
          <w:szCs w:val="15"/>
        </w:rPr>
        <w:t>；</w:t>
      </w:r>
    </w:p>
    <w:p w14:paraId="4665CA25">
      <w:pPr>
        <w:pStyle w:val="226"/>
        <w:pageBreakBefore w:val="0"/>
        <w:spacing w:line="420" w:lineRule="exact"/>
        <w:ind w:firstLine="420"/>
        <w:rPr>
          <w:rFonts w:ascii="宋体" w:hAnsi="宋体" w:eastAsia="宋体" w:cs="宋体"/>
          <w:sz w:val="21"/>
        </w:rPr>
      </w:pPr>
      <w:r>
        <w:rPr>
          <w:rFonts w:hint="eastAsia" w:ascii="宋体" w:hAnsi="宋体" w:eastAsia="宋体" w:cs="宋体"/>
          <w:sz w:val="21"/>
        </w:rPr>
        <w:t>（5）依照法律、行政法规的规定或者按照</w:t>
      </w:r>
      <w:r>
        <w:rPr>
          <w:rFonts w:hint="eastAsia" w:ascii="宋体" w:hAnsi="宋体" w:eastAsia="宋体" w:cs="宋体"/>
          <w:b/>
          <w:bCs/>
          <w:sz w:val="21"/>
        </w:rPr>
        <w:t>【政府采购合同专用条款】</w:t>
      </w:r>
      <w:r>
        <w:rPr>
          <w:rFonts w:hint="eastAsia" w:ascii="宋体" w:hAnsi="宋体" w:eastAsia="宋体" w:cs="宋体"/>
          <w:sz w:val="21"/>
        </w:rPr>
        <w:t>约定，货物在有效使用年限届满后应予回收的，乙方负有自行或者委托第三人对货物予以回收的义务；</w:t>
      </w:r>
    </w:p>
    <w:p w14:paraId="26CA3414">
      <w:pPr>
        <w:pageBreakBefore w:val="0"/>
        <w:spacing w:line="420" w:lineRule="exact"/>
        <w:ind w:firstLine="420"/>
        <w:jc w:val="left"/>
        <w:rPr>
          <w:rFonts w:ascii="宋体" w:hAnsi="宋体"/>
          <w:szCs w:val="21"/>
        </w:rPr>
      </w:pPr>
      <w:r>
        <w:rPr>
          <w:rFonts w:hint="eastAsia" w:ascii="宋体" w:hAnsi="宋体"/>
          <w:szCs w:val="21"/>
        </w:rPr>
        <w:t>（6）</w:t>
      </w:r>
      <w:r>
        <w:rPr>
          <w:rFonts w:hint="eastAsia" w:ascii="宋体" w:hAnsi="宋体"/>
          <w:b/>
          <w:szCs w:val="21"/>
        </w:rPr>
        <w:t>【政府采购合同专用条款】</w:t>
      </w:r>
      <w:r>
        <w:rPr>
          <w:rFonts w:hint="eastAsia" w:ascii="宋体" w:hAnsi="宋体"/>
          <w:szCs w:val="21"/>
        </w:rPr>
        <w:t>规定由乙方提供的其他服务。</w:t>
      </w:r>
    </w:p>
    <w:p w14:paraId="30281893">
      <w:pPr>
        <w:pageBreakBefore w:val="0"/>
        <w:spacing w:line="420" w:lineRule="exact"/>
        <w:ind w:firstLine="420"/>
        <w:jc w:val="left"/>
        <w:rPr>
          <w:rFonts w:ascii="宋体" w:hAnsi="宋体"/>
          <w:szCs w:val="21"/>
        </w:rPr>
      </w:pPr>
      <w:r>
        <w:rPr>
          <w:rFonts w:hint="eastAsia" w:ascii="宋体" w:hAnsi="宋体"/>
          <w:szCs w:val="21"/>
        </w:rPr>
        <w:t>14.2 乙方提供的售后服务的费用已包含在合同价款中，甲方不再另行支付。</w:t>
      </w:r>
    </w:p>
    <w:p w14:paraId="2C904FAC">
      <w:pPr>
        <w:pageBreakBefore w:val="0"/>
        <w:spacing w:line="420" w:lineRule="exact"/>
        <w:jc w:val="left"/>
        <w:rPr>
          <w:rFonts w:ascii="宋体" w:hAnsi="宋体"/>
          <w:b/>
          <w:bCs/>
          <w:sz w:val="24"/>
        </w:rPr>
      </w:pPr>
      <w:r>
        <w:rPr>
          <w:rFonts w:hint="eastAsia" w:ascii="宋体" w:hAnsi="宋体"/>
          <w:b/>
          <w:bCs/>
          <w:sz w:val="24"/>
        </w:rPr>
        <w:t>15. 违约责任</w:t>
      </w:r>
    </w:p>
    <w:p w14:paraId="1B5FE0BF">
      <w:pPr>
        <w:pageBreakBefore w:val="0"/>
        <w:spacing w:line="420" w:lineRule="exact"/>
        <w:ind w:firstLine="420"/>
        <w:jc w:val="left"/>
        <w:rPr>
          <w:rFonts w:ascii="宋体" w:hAnsi="宋体"/>
          <w:bCs/>
          <w:szCs w:val="21"/>
        </w:rPr>
      </w:pPr>
      <w:r>
        <w:rPr>
          <w:rFonts w:hint="eastAsia" w:ascii="宋体" w:hAnsi="宋体"/>
          <w:bCs/>
          <w:szCs w:val="21"/>
        </w:rPr>
        <w:t>15.1质量瑕疵的违约责任</w:t>
      </w:r>
    </w:p>
    <w:p w14:paraId="5FC1B38E">
      <w:pPr>
        <w:pageBreakBefore w:val="0"/>
        <w:spacing w:line="420" w:lineRule="exact"/>
        <w:ind w:firstLine="420"/>
        <w:jc w:val="left"/>
        <w:rPr>
          <w:rFonts w:ascii="宋体" w:hAnsi="宋体"/>
          <w:szCs w:val="21"/>
        </w:rPr>
      </w:pPr>
      <w:r>
        <w:rPr>
          <w:rFonts w:hint="eastAsia" w:ascii="宋体" w:hAnsi="宋体"/>
          <w:szCs w:val="21"/>
        </w:rPr>
        <w:t>乙方提供的产品不符合合同约定的质量标准或存在产品质量缺陷，甲方有权要求乙方根据</w:t>
      </w:r>
      <w:r>
        <w:rPr>
          <w:rFonts w:hint="eastAsia" w:ascii="宋体" w:hAnsi="宋体"/>
          <w:b/>
          <w:szCs w:val="21"/>
        </w:rPr>
        <w:t>【政府采购合同专用条款】</w:t>
      </w:r>
      <w:r>
        <w:rPr>
          <w:rFonts w:hint="eastAsia" w:ascii="宋体" w:hAnsi="宋体"/>
          <w:bCs/>
          <w:szCs w:val="21"/>
        </w:rPr>
        <w:t>要求</w:t>
      </w:r>
      <w:r>
        <w:rPr>
          <w:rFonts w:hint="eastAsia" w:ascii="宋体" w:hAnsi="宋体"/>
          <w:szCs w:val="21"/>
        </w:rPr>
        <w:t>及时修理、重作、更换，并承担由此给甲方造成的损失。</w:t>
      </w:r>
    </w:p>
    <w:p w14:paraId="08BBFDB4">
      <w:pPr>
        <w:pageBreakBefore w:val="0"/>
        <w:spacing w:line="420" w:lineRule="exact"/>
        <w:ind w:firstLine="420"/>
        <w:jc w:val="left"/>
        <w:rPr>
          <w:rFonts w:ascii="宋体" w:hAnsi="宋体"/>
          <w:bCs/>
          <w:szCs w:val="21"/>
        </w:rPr>
      </w:pPr>
      <w:r>
        <w:rPr>
          <w:rFonts w:hint="eastAsia" w:ascii="宋体" w:hAnsi="宋体"/>
          <w:bCs/>
          <w:szCs w:val="21"/>
        </w:rPr>
        <w:t>15.2 迟延交货的违约责任</w:t>
      </w:r>
    </w:p>
    <w:p w14:paraId="7E213B33">
      <w:pPr>
        <w:pageBreakBefore w:val="0"/>
        <w:spacing w:line="420" w:lineRule="exact"/>
        <w:ind w:firstLine="420"/>
        <w:jc w:val="left"/>
        <w:rPr>
          <w:rFonts w:ascii="宋体" w:hAnsi="宋体"/>
          <w:szCs w:val="21"/>
        </w:rPr>
      </w:pPr>
      <w:r>
        <w:rPr>
          <w:rFonts w:hint="eastAsia" w:ascii="宋体" w:hAnsi="宋体"/>
          <w:szCs w:val="21"/>
        </w:rPr>
        <w:t>（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p>
    <w:p w14:paraId="61C23918">
      <w:pPr>
        <w:pageBreakBefore w:val="0"/>
        <w:spacing w:line="420" w:lineRule="exact"/>
        <w:ind w:firstLine="420"/>
        <w:jc w:val="left"/>
        <w:rPr>
          <w:rFonts w:ascii="宋体" w:hAnsi="宋体"/>
          <w:szCs w:val="21"/>
        </w:rPr>
      </w:pPr>
      <w:r>
        <w:rPr>
          <w:rFonts w:hint="eastAsia" w:ascii="宋体" w:hAnsi="宋体"/>
          <w:szCs w:val="21"/>
        </w:rPr>
        <w:t>（2）如果乙方没有按照合同规定的时间交货和提供相关服务，甲方有权从货款中扣除误期赔偿费而不影响合同项下的其他补救方法，赔偿费按</w:t>
      </w:r>
      <w:r>
        <w:rPr>
          <w:rFonts w:hint="eastAsia" w:ascii="宋体" w:hAnsi="宋体"/>
          <w:b/>
          <w:szCs w:val="21"/>
        </w:rPr>
        <w:t>【政府采购合同专用条款】</w:t>
      </w:r>
      <w:r>
        <w:rPr>
          <w:rFonts w:hint="eastAsia" w:ascii="宋体" w:hAnsi="宋体"/>
          <w:szCs w:val="21"/>
        </w:rPr>
        <w:t>规定执行。如果涉及公共利益，且赔偿金额无法弥补公共利益损失，甲方可要求继续履行或者采取其他补救措施。</w:t>
      </w:r>
    </w:p>
    <w:p w14:paraId="654209CB">
      <w:pPr>
        <w:pageBreakBefore w:val="0"/>
        <w:spacing w:line="420" w:lineRule="exact"/>
        <w:ind w:firstLine="420"/>
        <w:jc w:val="left"/>
        <w:rPr>
          <w:rFonts w:ascii="宋体" w:hAnsi="宋体"/>
          <w:szCs w:val="21"/>
        </w:rPr>
      </w:pPr>
      <w:r>
        <w:rPr>
          <w:rFonts w:hint="eastAsia" w:ascii="宋体" w:hAnsi="宋体"/>
          <w:szCs w:val="21"/>
        </w:rPr>
        <w:t>15.3 迟延支付的违约责任</w:t>
      </w:r>
    </w:p>
    <w:p w14:paraId="5720FF5A">
      <w:pPr>
        <w:pageBreakBefore w:val="0"/>
        <w:spacing w:line="420" w:lineRule="exact"/>
        <w:ind w:firstLine="420"/>
        <w:jc w:val="left"/>
        <w:rPr>
          <w:rFonts w:ascii="宋体" w:hAnsi="宋体"/>
          <w:szCs w:val="21"/>
        </w:rPr>
      </w:pPr>
      <w:r>
        <w:rPr>
          <w:rFonts w:hint="eastAsia" w:ascii="宋体" w:hAnsi="宋体"/>
          <w:szCs w:val="21"/>
        </w:rPr>
        <w:t>甲方存在迟延支付乙方合同款项的，应当承担</w:t>
      </w:r>
      <w:r>
        <w:rPr>
          <w:rFonts w:hint="eastAsia" w:ascii="宋体" w:hAnsi="宋体"/>
          <w:b/>
          <w:bCs/>
          <w:szCs w:val="21"/>
        </w:rPr>
        <w:t>【政府采购合同专用条款】</w:t>
      </w:r>
      <w:r>
        <w:rPr>
          <w:rFonts w:hint="eastAsia" w:ascii="宋体" w:hAnsi="宋体"/>
          <w:szCs w:val="21"/>
        </w:rPr>
        <w:t>规定的逾期付款利息。</w:t>
      </w:r>
    </w:p>
    <w:p w14:paraId="416EDE2D">
      <w:pPr>
        <w:pageBreakBefore w:val="0"/>
        <w:spacing w:line="420" w:lineRule="exact"/>
        <w:ind w:firstLine="420"/>
        <w:jc w:val="left"/>
        <w:rPr>
          <w:rFonts w:ascii="宋体" w:hAnsi="宋体"/>
          <w:szCs w:val="21"/>
        </w:rPr>
      </w:pPr>
      <w:r>
        <w:rPr>
          <w:rFonts w:hint="eastAsia" w:ascii="宋体" w:hAnsi="宋体"/>
          <w:bCs/>
          <w:szCs w:val="21"/>
        </w:rPr>
        <w:t>15.4其他违约责任根据项目实际需要按</w:t>
      </w:r>
      <w:r>
        <w:rPr>
          <w:rFonts w:hint="eastAsia" w:ascii="宋体" w:hAnsi="宋体"/>
          <w:b/>
          <w:bCs/>
          <w:szCs w:val="21"/>
        </w:rPr>
        <w:t>【政府采购合同专用条款】</w:t>
      </w:r>
      <w:r>
        <w:rPr>
          <w:rFonts w:hint="eastAsia" w:ascii="宋体" w:hAnsi="宋体"/>
          <w:szCs w:val="21"/>
        </w:rPr>
        <w:t>规定执行。</w:t>
      </w:r>
    </w:p>
    <w:p w14:paraId="1E68E479">
      <w:pPr>
        <w:pageBreakBefore w:val="0"/>
        <w:numPr>
          <w:ilvl w:val="0"/>
          <w:numId w:val="6"/>
        </w:numPr>
        <w:spacing w:line="420" w:lineRule="exact"/>
        <w:jc w:val="left"/>
        <w:rPr>
          <w:rFonts w:ascii="宋体" w:hAnsi="宋体"/>
          <w:b/>
          <w:sz w:val="24"/>
        </w:rPr>
      </w:pPr>
      <w:r>
        <w:rPr>
          <w:rFonts w:hint="eastAsia" w:ascii="宋体" w:hAnsi="宋体"/>
          <w:b/>
          <w:sz w:val="24"/>
        </w:rPr>
        <w:t>合同变更、中止与终止</w:t>
      </w:r>
    </w:p>
    <w:p w14:paraId="436731A3">
      <w:pPr>
        <w:pageBreakBefore w:val="0"/>
        <w:spacing w:line="420" w:lineRule="exact"/>
        <w:jc w:val="left"/>
        <w:rPr>
          <w:rFonts w:ascii="宋体" w:hAnsi="宋体"/>
          <w:szCs w:val="21"/>
        </w:rPr>
      </w:pPr>
      <w:r>
        <w:rPr>
          <w:rFonts w:hint="eastAsia" w:ascii="宋体" w:hAnsi="宋体"/>
          <w:szCs w:val="21"/>
        </w:rPr>
        <w:t xml:space="preserve">    16.1合同的变更</w:t>
      </w:r>
    </w:p>
    <w:p w14:paraId="088B2C00">
      <w:pPr>
        <w:pageBreakBefore w:val="0"/>
        <w:spacing w:line="420" w:lineRule="exact"/>
        <w:ind w:firstLine="420"/>
        <w:jc w:val="left"/>
        <w:rPr>
          <w:rFonts w:ascii="宋体" w:hAnsi="宋体"/>
          <w:szCs w:val="21"/>
        </w:rPr>
      </w:pPr>
      <w:r>
        <w:rPr>
          <w:rFonts w:hint="eastAsia" w:ascii="宋体" w:hAnsi="宋体"/>
          <w:szCs w:val="21"/>
        </w:rPr>
        <w:t>政府采购合同履行中，在不改变合同其他条款的前提下，甲方可以在合同价款10%的范围内追加与合同标的相同的货物，并就此与乙方协商一致后签订补充协议。</w:t>
      </w:r>
    </w:p>
    <w:p w14:paraId="2E16DEEB">
      <w:pPr>
        <w:pageBreakBefore w:val="0"/>
        <w:spacing w:line="420" w:lineRule="exact"/>
        <w:ind w:firstLine="420"/>
        <w:jc w:val="left"/>
        <w:rPr>
          <w:rFonts w:ascii="宋体" w:hAnsi="宋体"/>
          <w:szCs w:val="21"/>
        </w:rPr>
      </w:pPr>
      <w:r>
        <w:rPr>
          <w:rFonts w:hint="eastAsia" w:ascii="宋体" w:hAnsi="宋体"/>
          <w:szCs w:val="21"/>
        </w:rPr>
        <w:t>16.2合同的中止</w:t>
      </w:r>
    </w:p>
    <w:p w14:paraId="5749DB30">
      <w:pPr>
        <w:pageBreakBefore w:val="0"/>
        <w:spacing w:line="420" w:lineRule="exact"/>
        <w:ind w:firstLine="420"/>
        <w:jc w:val="left"/>
        <w:rPr>
          <w:rFonts w:ascii="宋体" w:hAnsi="宋体"/>
          <w:szCs w:val="21"/>
        </w:rPr>
      </w:pPr>
      <w:r>
        <w:rPr>
          <w:rFonts w:hint="eastAsia" w:ascii="宋体" w:hAnsi="宋体"/>
          <w:szCs w:val="21"/>
        </w:rPr>
        <w:t>（1）合同履行过程中因供应商就</w:t>
      </w:r>
      <w:r>
        <w:rPr>
          <w:rFonts w:hint="eastAsia" w:ascii="仿宋" w:hAnsi="仿宋" w:eastAsia="仿宋" w:cs="仿宋"/>
          <w:color w:val="333333"/>
          <w:sz w:val="28"/>
          <w:szCs w:val="28"/>
          <w:shd w:val="clear" w:color="auto" w:fill="FFFFFF"/>
        </w:rPr>
        <w:t>询价</w:t>
      </w:r>
      <w:r>
        <w:rPr>
          <w:rFonts w:hint="eastAsia" w:ascii="宋体" w:hAnsi="宋体"/>
          <w:szCs w:val="21"/>
        </w:rPr>
        <w:t>文件、</w:t>
      </w:r>
      <w:r>
        <w:rPr>
          <w:rFonts w:hint="eastAsia" w:ascii="仿宋" w:hAnsi="仿宋" w:eastAsia="仿宋" w:cs="仿宋"/>
          <w:color w:val="333333"/>
          <w:sz w:val="28"/>
          <w:szCs w:val="28"/>
          <w:shd w:val="clear" w:color="auto" w:fill="FFFFFF"/>
        </w:rPr>
        <w:t>询价</w:t>
      </w:r>
      <w:r>
        <w:rPr>
          <w:rFonts w:hint="eastAsia" w:ascii="宋体" w:hAnsi="宋体"/>
          <w:szCs w:val="21"/>
        </w:rPr>
        <w:t>过程或结果提起投诉的，甲方认为有必要的，可以中止合同的履行。</w:t>
      </w:r>
    </w:p>
    <w:p w14:paraId="260D8D74">
      <w:pPr>
        <w:pageBreakBefore w:val="0"/>
        <w:spacing w:line="420" w:lineRule="exact"/>
        <w:ind w:firstLine="420"/>
        <w:jc w:val="left"/>
        <w:rPr>
          <w:rFonts w:ascii="宋体" w:hAnsi="宋体"/>
          <w:szCs w:val="21"/>
        </w:rPr>
      </w:pPr>
      <w:r>
        <w:rPr>
          <w:rFonts w:hint="eastAsia" w:ascii="宋体" w:hAnsi="宋体"/>
          <w:szCs w:val="21"/>
        </w:rPr>
        <w:t>（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p>
    <w:p w14:paraId="48E6C140">
      <w:pPr>
        <w:pStyle w:val="226"/>
        <w:pageBreakBefore w:val="0"/>
        <w:spacing w:line="420" w:lineRule="exact"/>
        <w:ind w:firstLine="420"/>
        <w:jc w:val="both"/>
        <w:rPr>
          <w:sz w:val="21"/>
        </w:rPr>
      </w:pPr>
      <w:r>
        <w:rPr>
          <w:rFonts w:hint="eastAsia" w:ascii="宋体" w:hAnsi="宋体" w:eastAsia="宋体" w:cs="宋体"/>
          <w:sz w:val="21"/>
        </w:rPr>
        <w:t>（3）乙方分立、合并或者变更住所的，应当及时以书面形式告知甲方。乙方没有及时告知甲方，致使合同履行发生困难的，甲方可以中止合同履行并要求乙方承担由此给甲方造成的损失。</w:t>
      </w:r>
    </w:p>
    <w:p w14:paraId="31662C47">
      <w:pPr>
        <w:pageBreakBefore w:val="0"/>
        <w:spacing w:line="420" w:lineRule="exact"/>
        <w:ind w:firstLine="420"/>
        <w:jc w:val="left"/>
      </w:pPr>
      <w:r>
        <w:rPr>
          <w:rFonts w:hint="eastAsia" w:ascii="宋体" w:hAnsi="宋体"/>
          <w:szCs w:val="21"/>
        </w:rPr>
        <w:t>（4）甲方不得以行政区划调整、政府换届、机构或者职能调整以及相关责任人更替为由中止合同。</w:t>
      </w:r>
    </w:p>
    <w:p w14:paraId="34EB5752">
      <w:pPr>
        <w:pageBreakBefore w:val="0"/>
        <w:spacing w:line="420" w:lineRule="exact"/>
        <w:ind w:firstLine="420"/>
        <w:jc w:val="left"/>
        <w:rPr>
          <w:rFonts w:ascii="宋体" w:hAnsi="宋体"/>
          <w:szCs w:val="21"/>
        </w:rPr>
      </w:pPr>
      <w:r>
        <w:rPr>
          <w:rFonts w:hint="eastAsia" w:ascii="宋体" w:hAnsi="宋体"/>
          <w:szCs w:val="21"/>
        </w:rPr>
        <w:t>16.3合同的终止</w:t>
      </w:r>
    </w:p>
    <w:p w14:paraId="12F9CDB1">
      <w:pPr>
        <w:pageBreakBefore w:val="0"/>
        <w:spacing w:line="420" w:lineRule="exact"/>
        <w:ind w:firstLine="420"/>
        <w:jc w:val="left"/>
        <w:rPr>
          <w:rFonts w:ascii="宋体" w:hAnsi="宋体"/>
          <w:szCs w:val="21"/>
        </w:rPr>
      </w:pPr>
      <w:r>
        <w:rPr>
          <w:rFonts w:hint="eastAsia" w:ascii="宋体" w:hAnsi="宋体"/>
          <w:szCs w:val="21"/>
        </w:rPr>
        <w:t>（1）合同因有效期限届满而终止；</w:t>
      </w:r>
    </w:p>
    <w:p w14:paraId="53EA09F7">
      <w:pPr>
        <w:pageBreakBefore w:val="0"/>
        <w:spacing w:line="420" w:lineRule="exact"/>
        <w:ind w:firstLine="420"/>
        <w:rPr>
          <w:rFonts w:ascii="宋体" w:hAnsi="宋体" w:cs="宋体"/>
          <w:szCs w:val="21"/>
        </w:rPr>
      </w:pPr>
      <w:r>
        <w:rPr>
          <w:rFonts w:hint="eastAsia" w:ascii="宋体" w:hAnsi="宋体"/>
          <w:szCs w:val="21"/>
        </w:rPr>
        <w:t>（2）乙方未按合同约定履行，构成根本性违约的，甲方有权终止合同，</w:t>
      </w:r>
      <w:r>
        <w:rPr>
          <w:rFonts w:hint="eastAsia" w:ascii="宋体" w:hAnsi="宋体" w:cs="宋体"/>
          <w:szCs w:val="21"/>
        </w:rPr>
        <w:t>并追究乙方的违约责任</w:t>
      </w:r>
      <w:r>
        <w:rPr>
          <w:rFonts w:hint="eastAsia" w:ascii="宋体" w:hAnsi="宋体"/>
          <w:szCs w:val="21"/>
        </w:rPr>
        <w:t>。</w:t>
      </w:r>
    </w:p>
    <w:p w14:paraId="274E5D99">
      <w:pPr>
        <w:pStyle w:val="226"/>
        <w:pageBreakBefore w:val="0"/>
        <w:spacing w:line="420" w:lineRule="exact"/>
        <w:rPr>
          <w:rFonts w:ascii="宋体" w:hAnsi="宋体"/>
        </w:rPr>
      </w:pPr>
      <w:r>
        <w:rPr>
          <w:rFonts w:hint="eastAsia" w:ascii="宋体" w:hAnsi="宋体"/>
        </w:rPr>
        <w:t xml:space="preserve">16.4 </w:t>
      </w:r>
      <w:r>
        <w:rPr>
          <w:rFonts w:hint="eastAsia" w:ascii="宋体" w:hAnsi="宋体" w:eastAsia="宋体" w:cs="Times New Roman"/>
          <w:sz w:val="21"/>
        </w:rPr>
        <w:t>涉及国家利益、社会公共利益的情形</w:t>
      </w:r>
    </w:p>
    <w:p w14:paraId="6CE8E0E4">
      <w:pPr>
        <w:pStyle w:val="226"/>
        <w:pageBreakBefore w:val="0"/>
        <w:spacing w:line="420" w:lineRule="exact"/>
        <w:ind w:firstLine="420"/>
        <w:jc w:val="both"/>
        <w:rPr>
          <w:sz w:val="21"/>
        </w:rPr>
      </w:pPr>
      <w:r>
        <w:rPr>
          <w:rFonts w:hint="eastAsia" w:ascii="宋体" w:hAnsi="宋体" w:eastAsia="宋体" w:cs="宋体"/>
          <w:sz w:val="21"/>
        </w:rPr>
        <w:t>政府采购合同继续履行将损害国家利益和社会公共利益的，双方当事人应当变更、中止或者终止合同。有过错的一方应当承担赔偿责任，双方都有过错的，各自承担相应的责任。</w:t>
      </w:r>
    </w:p>
    <w:p w14:paraId="44D88755">
      <w:pPr>
        <w:pageBreakBefore w:val="0"/>
        <w:spacing w:line="420" w:lineRule="exact"/>
        <w:jc w:val="left"/>
        <w:rPr>
          <w:rFonts w:ascii="宋体" w:hAnsi="宋体"/>
          <w:b/>
          <w:bCs/>
          <w:sz w:val="24"/>
        </w:rPr>
      </w:pPr>
      <w:r>
        <w:rPr>
          <w:rFonts w:hint="eastAsia" w:ascii="宋体" w:hAnsi="宋体"/>
          <w:b/>
          <w:bCs/>
          <w:sz w:val="24"/>
        </w:rPr>
        <w:t>17. 合同分包</w:t>
      </w:r>
    </w:p>
    <w:p w14:paraId="7DAB85E0">
      <w:pPr>
        <w:pageBreakBefore w:val="0"/>
        <w:spacing w:line="420" w:lineRule="exact"/>
        <w:ind w:firstLine="420"/>
        <w:jc w:val="left"/>
        <w:rPr>
          <w:rFonts w:ascii="宋体" w:hAnsi="宋体"/>
          <w:szCs w:val="21"/>
        </w:rPr>
      </w:pPr>
      <w:r>
        <w:rPr>
          <w:rFonts w:hint="eastAsia" w:ascii="宋体" w:hAnsi="宋体"/>
          <w:szCs w:val="21"/>
        </w:rPr>
        <w:t>17.1 乙方不得将合同转包给其他供应商。涉及合同分包的，乙方应根据</w:t>
      </w:r>
      <w:r>
        <w:rPr>
          <w:rFonts w:hint="eastAsia" w:ascii="仿宋" w:hAnsi="仿宋" w:eastAsia="仿宋" w:cs="仿宋"/>
          <w:color w:val="333333"/>
          <w:sz w:val="28"/>
          <w:szCs w:val="28"/>
          <w:shd w:val="clear" w:color="auto" w:fill="FFFFFF"/>
        </w:rPr>
        <w:t>询价</w:t>
      </w:r>
      <w:r>
        <w:rPr>
          <w:rFonts w:hint="eastAsia" w:ascii="宋体" w:hAnsi="宋体"/>
          <w:szCs w:val="21"/>
        </w:rPr>
        <w:t>文件和投标（响应）文件规定进行合同分包。</w:t>
      </w:r>
    </w:p>
    <w:p w14:paraId="7F2192DF">
      <w:pPr>
        <w:pageBreakBefore w:val="0"/>
        <w:spacing w:line="420" w:lineRule="exact"/>
        <w:ind w:firstLine="420"/>
        <w:jc w:val="left"/>
        <w:rPr>
          <w:rFonts w:ascii="宋体" w:hAnsi="宋体"/>
          <w:szCs w:val="21"/>
        </w:rPr>
      </w:pPr>
      <w:r>
        <w:rPr>
          <w:rFonts w:hint="eastAsia" w:ascii="宋体" w:hAnsi="宋体"/>
          <w:szCs w:val="21"/>
        </w:rPr>
        <w:t>17.2 乙方执行政府采购政策向中小企业依法分包的，乙方应当按</w:t>
      </w:r>
      <w:r>
        <w:rPr>
          <w:rFonts w:hint="eastAsia" w:ascii="仿宋" w:hAnsi="仿宋" w:eastAsia="仿宋" w:cs="仿宋"/>
          <w:color w:val="333333"/>
          <w:sz w:val="28"/>
          <w:szCs w:val="28"/>
          <w:shd w:val="clear" w:color="auto" w:fill="FFFFFF"/>
        </w:rPr>
        <w:t>询价</w:t>
      </w:r>
      <w:r>
        <w:rPr>
          <w:rFonts w:hint="eastAsia" w:ascii="宋体" w:hAnsi="宋体"/>
          <w:szCs w:val="21"/>
        </w:rPr>
        <w:t>文件和投标（响应）文件签订分包意向协议，分包意向协议属于本合同组成部分。</w:t>
      </w:r>
    </w:p>
    <w:p w14:paraId="6123E2E8">
      <w:pPr>
        <w:pageBreakBefore w:val="0"/>
        <w:spacing w:line="420" w:lineRule="exact"/>
        <w:jc w:val="left"/>
        <w:rPr>
          <w:rFonts w:ascii="宋体" w:hAnsi="宋体"/>
          <w:b/>
          <w:bCs/>
          <w:sz w:val="24"/>
        </w:rPr>
      </w:pPr>
      <w:r>
        <w:rPr>
          <w:rFonts w:hint="eastAsia" w:ascii="宋体" w:hAnsi="宋体"/>
          <w:b/>
          <w:bCs/>
          <w:sz w:val="24"/>
        </w:rPr>
        <w:t>18. 不可抗力</w:t>
      </w:r>
    </w:p>
    <w:p w14:paraId="5A5D8121">
      <w:pPr>
        <w:pageBreakBefore w:val="0"/>
        <w:spacing w:line="420" w:lineRule="exact"/>
        <w:ind w:firstLine="420"/>
        <w:jc w:val="left"/>
        <w:rPr>
          <w:rFonts w:ascii="宋体" w:hAnsi="宋体"/>
          <w:szCs w:val="21"/>
        </w:rPr>
      </w:pPr>
      <w:r>
        <w:rPr>
          <w:rFonts w:hint="eastAsia" w:ascii="宋体" w:hAnsi="宋体"/>
          <w:szCs w:val="21"/>
        </w:rPr>
        <w:t>18.1 不可抗力是指合同双方不能预见、不能避免且不能克服的客观情况。</w:t>
      </w:r>
    </w:p>
    <w:p w14:paraId="4DA58416">
      <w:pPr>
        <w:pageBreakBefore w:val="0"/>
        <w:spacing w:line="420" w:lineRule="exact"/>
        <w:ind w:firstLine="420"/>
        <w:jc w:val="left"/>
        <w:rPr>
          <w:rFonts w:ascii="宋体" w:hAnsi="宋体"/>
          <w:szCs w:val="21"/>
        </w:rPr>
      </w:pPr>
      <w:r>
        <w:rPr>
          <w:rFonts w:hint="eastAsia" w:ascii="宋体" w:hAnsi="宋体"/>
          <w:szCs w:val="21"/>
        </w:rPr>
        <w:t>18.2 任何一方对由于不可抗力造成的部分或全部不能履行合同不承担违约责任。但迟延履行后发生不可抗力的，不能免除责任。</w:t>
      </w:r>
    </w:p>
    <w:p w14:paraId="1C64D2B8">
      <w:pPr>
        <w:pageBreakBefore w:val="0"/>
        <w:spacing w:line="420" w:lineRule="exact"/>
        <w:ind w:firstLine="420"/>
        <w:jc w:val="left"/>
        <w:rPr>
          <w:rFonts w:ascii="宋体" w:hAnsi="宋体"/>
          <w:szCs w:val="21"/>
        </w:rPr>
      </w:pPr>
      <w:r>
        <w:rPr>
          <w:rFonts w:hint="eastAsia" w:ascii="宋体" w:hAnsi="宋体"/>
          <w:szCs w:val="21"/>
        </w:rPr>
        <w:t>18.3 遇有不可抗力的一方，应及时将事件情况以书面形式告知另一方，并在事件发生后及时向另一方提交合同不能履行或部分不能履行或需要延期履行的详细报告，以及证明不可抗力发生及其持续时间的证据。</w:t>
      </w:r>
    </w:p>
    <w:p w14:paraId="4C2CDF15">
      <w:pPr>
        <w:pageBreakBefore w:val="0"/>
        <w:spacing w:line="420" w:lineRule="exact"/>
        <w:jc w:val="left"/>
        <w:rPr>
          <w:rFonts w:ascii="宋体" w:hAnsi="宋体"/>
          <w:b/>
          <w:bCs/>
          <w:sz w:val="24"/>
        </w:rPr>
      </w:pPr>
      <w:r>
        <w:rPr>
          <w:rFonts w:hint="eastAsia" w:ascii="宋体" w:hAnsi="宋体"/>
          <w:b/>
          <w:bCs/>
          <w:sz w:val="24"/>
        </w:rPr>
        <w:t>19. 解决争议的方法</w:t>
      </w:r>
    </w:p>
    <w:p w14:paraId="7F2BD0D2">
      <w:pPr>
        <w:pStyle w:val="226"/>
        <w:pageBreakBefore w:val="0"/>
        <w:spacing w:line="420" w:lineRule="exact"/>
        <w:ind w:firstLine="420"/>
        <w:jc w:val="both"/>
        <w:rPr>
          <w:rFonts w:ascii="宋体" w:hAnsi="宋体" w:eastAsia="宋体" w:cs="宋体"/>
          <w:sz w:val="21"/>
        </w:rPr>
      </w:pPr>
      <w:r>
        <w:rPr>
          <w:rFonts w:hint="eastAsia" w:ascii="宋体" w:hAnsi="宋体" w:eastAsia="宋体" w:cs="宋体"/>
          <w:sz w:val="21"/>
        </w:rPr>
        <w:t>19.1 因本合同及合同有关事项发生的争议，由甲乙双方友好协商解决。协商不成时，可以向有关组织申请调解。合同一方或双方不愿调解或调解不成的，可以通过仲裁或诉讼的方式解决争议。</w:t>
      </w:r>
    </w:p>
    <w:p w14:paraId="2511BE8A">
      <w:pPr>
        <w:pStyle w:val="226"/>
        <w:pageBreakBefore w:val="0"/>
        <w:spacing w:line="420" w:lineRule="exact"/>
        <w:ind w:firstLine="420"/>
        <w:jc w:val="both"/>
        <w:rPr>
          <w:rFonts w:ascii="宋体" w:hAnsi="宋体" w:eastAsia="宋体" w:cs="宋体"/>
          <w:sz w:val="21"/>
        </w:rPr>
      </w:pPr>
      <w:r>
        <w:rPr>
          <w:rFonts w:hint="eastAsia" w:ascii="宋体" w:hAnsi="宋体" w:eastAsia="宋体" w:cs="宋体"/>
          <w:sz w:val="21"/>
        </w:rPr>
        <w:t>19.2 选择仲裁的，应在</w:t>
      </w:r>
      <w:r>
        <w:rPr>
          <w:rFonts w:hint="eastAsia" w:ascii="宋体" w:hAnsi="宋体" w:eastAsia="宋体" w:cs="宋体"/>
          <w:b/>
          <w:bCs/>
          <w:sz w:val="21"/>
        </w:rPr>
        <w:t>【政府采购合同专用条款】</w:t>
      </w:r>
      <w:r>
        <w:rPr>
          <w:rFonts w:hint="eastAsia" w:ascii="宋体" w:hAnsi="宋体" w:eastAsia="宋体" w:cs="宋体"/>
          <w:sz w:val="21"/>
        </w:rPr>
        <w:t>中明确仲裁机构及仲裁地；通过诉讼方式解决的，可以在</w:t>
      </w:r>
      <w:r>
        <w:rPr>
          <w:rFonts w:hint="eastAsia" w:ascii="宋体" w:hAnsi="宋体" w:eastAsia="宋体" w:cs="宋体"/>
          <w:b/>
          <w:bCs/>
          <w:sz w:val="21"/>
        </w:rPr>
        <w:t>【政府采购合同专用条款】</w:t>
      </w:r>
      <w:r>
        <w:rPr>
          <w:rFonts w:hint="eastAsia" w:ascii="宋体" w:hAnsi="宋体" w:eastAsia="宋体" w:cs="宋体"/>
          <w:sz w:val="21"/>
        </w:rPr>
        <w:t>中进一步约定选择与争议有实际联系的地点的人民法院管辖，但管辖法院的约定不得违反级别管辖和专属管辖的规定。</w:t>
      </w:r>
    </w:p>
    <w:p w14:paraId="726C1CA9">
      <w:pPr>
        <w:pStyle w:val="226"/>
        <w:pageBreakBefore w:val="0"/>
        <w:spacing w:line="420" w:lineRule="exact"/>
        <w:ind w:firstLine="420"/>
        <w:jc w:val="both"/>
        <w:rPr>
          <w:rFonts w:ascii="宋体" w:hAnsi="宋体" w:eastAsia="宋体" w:cs="宋体"/>
          <w:sz w:val="21"/>
        </w:rPr>
      </w:pPr>
      <w:r>
        <w:rPr>
          <w:rFonts w:hint="eastAsia" w:ascii="宋体" w:hAnsi="宋体" w:eastAsia="宋体" w:cs="宋体"/>
          <w:sz w:val="21"/>
        </w:rPr>
        <w:t>19.3 如甲乙双方有争议的事项不影响合同其他部分的履行，在争议解决期间，合同其他部分应当继续履行。</w:t>
      </w:r>
    </w:p>
    <w:p w14:paraId="7A862E20">
      <w:pPr>
        <w:pageBreakBefore w:val="0"/>
        <w:spacing w:line="420" w:lineRule="exact"/>
        <w:jc w:val="left"/>
        <w:rPr>
          <w:rFonts w:ascii="宋体" w:hAnsi="宋体"/>
          <w:sz w:val="24"/>
        </w:rPr>
      </w:pPr>
      <w:r>
        <w:rPr>
          <w:rFonts w:hint="eastAsia" w:ascii="宋体" w:hAnsi="宋体"/>
          <w:b/>
          <w:sz w:val="24"/>
        </w:rPr>
        <w:t>20. 政府采购政策</w:t>
      </w:r>
    </w:p>
    <w:p w14:paraId="345D2153">
      <w:pPr>
        <w:pageBreakBefore w:val="0"/>
        <w:spacing w:line="420" w:lineRule="exact"/>
        <w:ind w:firstLine="420"/>
        <w:jc w:val="left"/>
        <w:rPr>
          <w:rFonts w:ascii="宋体" w:hAnsi="宋体"/>
          <w:szCs w:val="21"/>
        </w:rPr>
      </w:pPr>
      <w:r>
        <w:rPr>
          <w:rFonts w:hint="eastAsia" w:ascii="宋体" w:hAnsi="宋体"/>
          <w:szCs w:val="21"/>
        </w:rPr>
        <w:t xml:space="preserve">20.1 </w:t>
      </w:r>
      <w:r>
        <w:rPr>
          <w:rFonts w:hint="eastAsia" w:ascii="宋体" w:hAnsi="宋体" w:cs="宋体"/>
          <w:lang w:val="en-GB"/>
        </w:rPr>
        <w:t>本合同应当按照规定执行政府采购政策。</w:t>
      </w:r>
    </w:p>
    <w:p w14:paraId="0412FC0E">
      <w:pPr>
        <w:pageBreakBefore w:val="0"/>
        <w:spacing w:line="420" w:lineRule="exact"/>
        <w:ind w:firstLine="420"/>
        <w:jc w:val="left"/>
        <w:rPr>
          <w:rFonts w:ascii="宋体" w:hAnsi="宋体"/>
          <w:szCs w:val="21"/>
        </w:rPr>
      </w:pPr>
      <w:r>
        <w:rPr>
          <w:rFonts w:hint="eastAsia" w:ascii="宋体" w:hAnsi="宋体"/>
          <w:szCs w:val="21"/>
        </w:rPr>
        <w:t>20.2 本合同依法执行政府采购政策的方式和内容，属于合同履约验收的范围。</w:t>
      </w:r>
      <w:r>
        <w:rPr>
          <w:rFonts w:hint="eastAsia" w:ascii="宋体" w:hAnsi="宋体" w:cs="宋体"/>
        </w:rPr>
        <w:t>甲乙双方</w:t>
      </w:r>
      <w:r>
        <w:rPr>
          <w:rFonts w:hint="eastAsia" w:ascii="宋体" w:hAnsi="宋体" w:cs="宋体"/>
          <w:lang w:val="en-GB"/>
        </w:rPr>
        <w:t>未按规定要求执行政府采购政策造成损失的</w:t>
      </w:r>
      <w:r>
        <w:rPr>
          <w:rFonts w:hint="eastAsia" w:ascii="宋体" w:hAnsi="宋体"/>
          <w:szCs w:val="21"/>
        </w:rPr>
        <w:t>，有过错的一方应当承担赔偿责任，双方都有过错的，各自承担相应的责任。</w:t>
      </w:r>
    </w:p>
    <w:p w14:paraId="0DFEE54A">
      <w:pPr>
        <w:pStyle w:val="13"/>
        <w:pageBreakBefore w:val="0"/>
        <w:spacing w:after="0" w:line="420" w:lineRule="exact"/>
        <w:ind w:firstLine="420"/>
      </w:pPr>
      <w:r>
        <w:rPr>
          <w:rFonts w:hint="eastAsia" w:ascii="宋体" w:hAnsi="宋体"/>
          <w:szCs w:val="21"/>
        </w:rPr>
        <w:t>20.3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p>
    <w:p w14:paraId="610EE6A9">
      <w:pPr>
        <w:pageBreakBefore w:val="0"/>
        <w:spacing w:line="420" w:lineRule="exact"/>
        <w:jc w:val="left"/>
        <w:rPr>
          <w:rFonts w:ascii="宋体" w:hAnsi="宋体"/>
          <w:b/>
          <w:sz w:val="24"/>
        </w:rPr>
      </w:pPr>
      <w:r>
        <w:rPr>
          <w:rFonts w:hint="eastAsia" w:ascii="宋体" w:hAnsi="宋体"/>
          <w:b/>
          <w:sz w:val="24"/>
        </w:rPr>
        <w:t>21. 法律适用</w:t>
      </w:r>
    </w:p>
    <w:p w14:paraId="59CDF5F8">
      <w:pPr>
        <w:pStyle w:val="226"/>
        <w:pageBreakBefore w:val="0"/>
        <w:spacing w:line="420" w:lineRule="exact"/>
        <w:ind w:firstLine="420"/>
        <w:jc w:val="both"/>
        <w:rPr>
          <w:rFonts w:ascii="宋体" w:hAnsi="宋体" w:eastAsia="宋体" w:cs="宋体"/>
          <w:sz w:val="21"/>
        </w:rPr>
      </w:pPr>
      <w:r>
        <w:rPr>
          <w:rFonts w:hint="eastAsia" w:ascii="宋体" w:hAnsi="宋体" w:eastAsia="宋体" w:cs="宋体"/>
          <w:sz w:val="21"/>
        </w:rPr>
        <w:t>21.1 本合同的订立、生效、解释、履行及与本合同有关的争议解决，均适用法律、行政法规。</w:t>
      </w:r>
    </w:p>
    <w:p w14:paraId="18463397">
      <w:pPr>
        <w:pStyle w:val="226"/>
        <w:pageBreakBefore w:val="0"/>
        <w:spacing w:line="420" w:lineRule="exact"/>
        <w:ind w:firstLine="420"/>
        <w:jc w:val="both"/>
        <w:rPr>
          <w:rFonts w:ascii="宋体" w:hAnsi="宋体" w:eastAsia="宋体" w:cs="宋体"/>
          <w:sz w:val="21"/>
        </w:rPr>
      </w:pPr>
      <w:r>
        <w:rPr>
          <w:rFonts w:hint="eastAsia" w:ascii="宋体" w:hAnsi="宋体" w:eastAsia="宋体" w:cs="宋体"/>
          <w:sz w:val="21"/>
        </w:rPr>
        <w:t>21.2 本合同条款与法律、行政法规的强制性规定不一致的，双方当事人应按照法律、行政法规的强制性规定修改本合同的相关条款。</w:t>
      </w:r>
    </w:p>
    <w:p w14:paraId="61B1E8BF">
      <w:pPr>
        <w:pageBreakBefore w:val="0"/>
        <w:spacing w:line="420" w:lineRule="exact"/>
        <w:jc w:val="left"/>
        <w:rPr>
          <w:rFonts w:ascii="宋体" w:hAnsi="宋体"/>
          <w:b/>
          <w:sz w:val="24"/>
        </w:rPr>
      </w:pPr>
      <w:r>
        <w:rPr>
          <w:rFonts w:hint="eastAsia" w:ascii="宋体" w:hAnsi="宋体"/>
          <w:b/>
          <w:sz w:val="24"/>
        </w:rPr>
        <w:t>22. 通知</w:t>
      </w:r>
    </w:p>
    <w:p w14:paraId="37281047">
      <w:pPr>
        <w:pStyle w:val="226"/>
        <w:pageBreakBefore w:val="0"/>
        <w:spacing w:line="420" w:lineRule="exact"/>
        <w:ind w:firstLine="420"/>
        <w:jc w:val="both"/>
        <w:rPr>
          <w:rFonts w:ascii="宋体" w:hAnsi="宋体" w:eastAsia="宋体" w:cs="宋体"/>
          <w:sz w:val="21"/>
        </w:rPr>
      </w:pPr>
      <w:r>
        <w:rPr>
          <w:rFonts w:hint="eastAsia" w:ascii="宋体" w:hAnsi="宋体" w:eastAsia="宋体" w:cs="宋体"/>
          <w:sz w:val="21"/>
        </w:rPr>
        <w:t>22.1 本合同任何一方向对方发出的通知、信件、数据电文等，应当发送至本合同第一部分《政府采购合同协议书》所约定的通讯地址、联系人、联系电话或电子邮箱。</w:t>
      </w:r>
    </w:p>
    <w:p w14:paraId="42FB200B">
      <w:pPr>
        <w:pStyle w:val="226"/>
        <w:pageBreakBefore w:val="0"/>
        <w:spacing w:line="420" w:lineRule="exact"/>
        <w:ind w:firstLine="0"/>
        <w:jc w:val="both"/>
        <w:rPr>
          <w:sz w:val="21"/>
        </w:rPr>
      </w:pPr>
      <w:r>
        <w:rPr>
          <w:rFonts w:hint="eastAsia" w:ascii="宋体" w:hAnsi="宋体" w:eastAsia="宋体" w:cs="宋体"/>
          <w:sz w:val="21"/>
        </w:rPr>
        <w:t xml:space="preserve">    22.2 一方当事人变更名称、住所、联系人、联系电话或电子邮箱等信息的，应当在变更后3日内及时书面通知对方，对方实际收到变更通知前的送达仍为有效送达。</w:t>
      </w:r>
    </w:p>
    <w:p w14:paraId="0B2D7E3A">
      <w:pPr>
        <w:pageBreakBefore w:val="0"/>
        <w:spacing w:line="420" w:lineRule="exact"/>
        <w:ind w:firstLine="420"/>
        <w:jc w:val="left"/>
        <w:rPr>
          <w:rFonts w:ascii="宋体" w:hAnsi="宋体"/>
          <w:szCs w:val="21"/>
        </w:rPr>
      </w:pPr>
      <w:r>
        <w:rPr>
          <w:rFonts w:hint="eastAsia" w:ascii="宋体" w:hAnsi="宋体"/>
          <w:szCs w:val="21"/>
        </w:rPr>
        <w:t>22.3本合同一方给另一方的通知均应采用书面形式，传真或快递送到本合同中规定的对方的地址和办理签收手续。</w:t>
      </w:r>
    </w:p>
    <w:p w14:paraId="034237C5">
      <w:pPr>
        <w:pageBreakBefore w:val="0"/>
        <w:spacing w:line="420" w:lineRule="exact"/>
        <w:ind w:firstLine="420"/>
        <w:jc w:val="left"/>
        <w:rPr>
          <w:rFonts w:ascii="宋体" w:hAnsi="宋体"/>
          <w:szCs w:val="21"/>
        </w:rPr>
      </w:pPr>
      <w:r>
        <w:rPr>
          <w:rFonts w:hint="eastAsia" w:ascii="宋体" w:hAnsi="宋体"/>
          <w:szCs w:val="21"/>
        </w:rPr>
        <w:t>22.4通知以送达之日或通知书中规定的生效之日起生效，两者中以较迟之日为准。</w:t>
      </w:r>
    </w:p>
    <w:p w14:paraId="6F4D64D1">
      <w:pPr>
        <w:pageBreakBefore w:val="0"/>
        <w:numPr>
          <w:ilvl w:val="0"/>
          <w:numId w:val="7"/>
        </w:numPr>
        <w:spacing w:line="420" w:lineRule="exact"/>
        <w:jc w:val="left"/>
        <w:rPr>
          <w:rFonts w:ascii="宋体" w:hAnsi="宋体"/>
          <w:b/>
          <w:bCs/>
          <w:sz w:val="24"/>
        </w:rPr>
      </w:pPr>
      <w:r>
        <w:rPr>
          <w:rFonts w:hint="eastAsia" w:ascii="宋体" w:hAnsi="宋体"/>
          <w:b/>
          <w:bCs/>
          <w:sz w:val="24"/>
        </w:rPr>
        <w:t>合同未尽事项</w:t>
      </w:r>
    </w:p>
    <w:p w14:paraId="4846D594">
      <w:pPr>
        <w:pageBreakBefore w:val="0"/>
        <w:spacing w:line="420" w:lineRule="exact"/>
        <w:ind w:firstLine="420"/>
        <w:jc w:val="left"/>
        <w:rPr>
          <w:rFonts w:ascii="宋体" w:hAnsi="宋体"/>
          <w:bCs/>
          <w:szCs w:val="21"/>
        </w:rPr>
      </w:pPr>
      <w:r>
        <w:rPr>
          <w:rFonts w:hint="eastAsia" w:ascii="宋体" w:hAnsi="宋体"/>
          <w:bCs/>
          <w:szCs w:val="21"/>
        </w:rPr>
        <w:t>23.1合同未尽事项见</w:t>
      </w:r>
      <w:r>
        <w:rPr>
          <w:rFonts w:hint="eastAsia" w:ascii="宋体" w:hAnsi="宋体"/>
          <w:b/>
          <w:szCs w:val="21"/>
        </w:rPr>
        <w:t>【政府采购合同专用条款】</w:t>
      </w:r>
      <w:r>
        <w:rPr>
          <w:rFonts w:hint="eastAsia" w:ascii="宋体" w:hAnsi="宋体"/>
          <w:bCs/>
          <w:szCs w:val="21"/>
        </w:rPr>
        <w:t>。</w:t>
      </w:r>
    </w:p>
    <w:p w14:paraId="160B4A76">
      <w:pPr>
        <w:pageBreakBefore w:val="0"/>
        <w:spacing w:line="420" w:lineRule="exact"/>
        <w:jc w:val="left"/>
        <w:rPr>
          <w:rFonts w:ascii="黑体" w:hAnsi="华文中宋" w:eastAsia="黑体"/>
          <w:sz w:val="28"/>
          <w:szCs w:val="28"/>
        </w:rPr>
      </w:pPr>
      <w:r>
        <w:rPr>
          <w:rFonts w:hint="eastAsia" w:ascii="宋体" w:hAnsi="宋体"/>
          <w:bCs/>
          <w:szCs w:val="21"/>
        </w:rPr>
        <w:t xml:space="preserve">    23.2 合同附件与合同正文具有同等的法律效力。</w:t>
      </w:r>
    </w:p>
    <w:p w14:paraId="7EE273E0">
      <w:pPr>
        <w:keepNext/>
        <w:keepLines/>
        <w:pageBreakBefore w:val="0"/>
        <w:spacing w:line="420" w:lineRule="exact"/>
        <w:jc w:val="center"/>
        <w:outlineLvl w:val="1"/>
        <w:rPr>
          <w:rFonts w:ascii="黑体" w:hAnsi="华文中宋" w:eastAsia="黑体"/>
          <w:sz w:val="24"/>
        </w:rPr>
      </w:pPr>
      <w:r>
        <w:rPr>
          <w:rFonts w:hint="eastAsia" w:ascii="黑体" w:hAnsi="华文中宋" w:eastAsia="黑体"/>
          <w:sz w:val="24"/>
        </w:rPr>
        <w:br w:type="page" w:clear="all"/>
      </w:r>
    </w:p>
    <w:p w14:paraId="18439A96">
      <w:pPr>
        <w:keepNext/>
        <w:keepLines/>
        <w:pageBreakBefore w:val="0"/>
        <w:spacing w:line="420" w:lineRule="exact"/>
        <w:jc w:val="center"/>
        <w:outlineLvl w:val="1"/>
        <w:rPr>
          <w:rFonts w:ascii="黑体" w:hAnsi="华文中宋" w:eastAsia="黑体"/>
          <w:sz w:val="24"/>
        </w:rPr>
      </w:pPr>
      <w:r>
        <w:rPr>
          <w:rFonts w:hint="eastAsia" w:ascii="黑体" w:hAnsi="华文中宋" w:eastAsia="黑体"/>
          <w:sz w:val="24"/>
        </w:rPr>
        <w:t>第三节 政府采购合同专用条款</w:t>
      </w:r>
      <w:bookmarkEnd w:id="140"/>
    </w:p>
    <w:tbl>
      <w:tblPr>
        <w:tblStyle w:val="31"/>
        <w:tblW w:w="8519" w:type="dxa"/>
        <w:tblInd w:w="108" w:type="dxa"/>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Layout w:type="fixed"/>
        <w:tblCellMar>
          <w:top w:w="0" w:type="dxa"/>
          <w:left w:w="108" w:type="dxa"/>
          <w:bottom w:w="0" w:type="dxa"/>
          <w:right w:w="108" w:type="dxa"/>
        </w:tblCellMar>
      </w:tblPr>
      <w:tblGrid>
        <w:gridCol w:w="1560"/>
        <w:gridCol w:w="1789"/>
        <w:gridCol w:w="5170"/>
      </w:tblGrid>
      <w:tr w14:paraId="020FD0E1">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736" w:hRule="atLeast"/>
        </w:trPr>
        <w:tc>
          <w:tcPr>
            <w:tcW w:w="1560" w:type="dxa"/>
            <w:noWrap w:val="0"/>
            <w:vAlign w:val="center"/>
          </w:tcPr>
          <w:p w14:paraId="7B4FB8DE">
            <w:pPr>
              <w:pageBreakBefore w:val="0"/>
              <w:spacing w:line="420" w:lineRule="exact"/>
              <w:jc w:val="center"/>
              <w:rPr>
                <w:rFonts w:ascii="宋体" w:hAnsi="宋体"/>
                <w:sz w:val="24"/>
              </w:rPr>
            </w:pPr>
            <w:r>
              <w:rPr>
                <w:rFonts w:hint="eastAsia" w:ascii="宋体" w:hAnsi="宋体"/>
                <w:sz w:val="24"/>
              </w:rPr>
              <w:t>第二节</w:t>
            </w:r>
          </w:p>
          <w:p w14:paraId="4A7BEB78">
            <w:pPr>
              <w:pageBreakBefore w:val="0"/>
              <w:spacing w:line="420" w:lineRule="exact"/>
              <w:jc w:val="center"/>
              <w:rPr>
                <w:rFonts w:ascii="宋体" w:hAnsi="宋体"/>
                <w:sz w:val="24"/>
              </w:rPr>
            </w:pPr>
            <w:r>
              <w:rPr>
                <w:rFonts w:hint="eastAsia" w:ascii="宋体" w:hAnsi="宋体"/>
                <w:sz w:val="24"/>
              </w:rPr>
              <w:t>第1.2（6）项</w:t>
            </w:r>
          </w:p>
        </w:tc>
        <w:tc>
          <w:tcPr>
            <w:tcW w:w="1789" w:type="dxa"/>
            <w:noWrap w:val="0"/>
            <w:vAlign w:val="center"/>
          </w:tcPr>
          <w:p w14:paraId="5360D859">
            <w:pPr>
              <w:pageBreakBefore w:val="0"/>
              <w:spacing w:line="420" w:lineRule="exact"/>
              <w:jc w:val="left"/>
              <w:rPr>
                <w:rFonts w:ascii="宋体" w:hAnsi="宋体"/>
                <w:sz w:val="24"/>
              </w:rPr>
            </w:pPr>
            <w:r>
              <w:rPr>
                <w:rFonts w:hint="eastAsia" w:ascii="宋体" w:hAnsi="宋体"/>
                <w:sz w:val="24"/>
              </w:rPr>
              <w:t>联合体具体要求</w:t>
            </w:r>
          </w:p>
        </w:tc>
        <w:tc>
          <w:tcPr>
            <w:tcW w:w="5170" w:type="dxa"/>
            <w:noWrap w:val="0"/>
            <w:vAlign w:val="center"/>
          </w:tcPr>
          <w:p w14:paraId="5734DCB9">
            <w:pPr>
              <w:pageBreakBefore w:val="0"/>
              <w:spacing w:line="420" w:lineRule="exact"/>
              <w:jc w:val="left"/>
              <w:rPr>
                <w:rFonts w:ascii="宋体" w:hAnsi="宋体"/>
                <w:sz w:val="24"/>
              </w:rPr>
            </w:pPr>
          </w:p>
        </w:tc>
      </w:tr>
      <w:tr w14:paraId="51ADD8DD">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604" w:hRule="atLeast"/>
        </w:trPr>
        <w:tc>
          <w:tcPr>
            <w:tcW w:w="1560" w:type="dxa"/>
            <w:noWrap w:val="0"/>
            <w:vAlign w:val="center"/>
          </w:tcPr>
          <w:p w14:paraId="21F5A177">
            <w:pPr>
              <w:pageBreakBefore w:val="0"/>
              <w:spacing w:line="420" w:lineRule="exact"/>
              <w:jc w:val="center"/>
              <w:rPr>
                <w:rFonts w:ascii="宋体" w:hAnsi="宋体"/>
                <w:sz w:val="24"/>
              </w:rPr>
            </w:pPr>
            <w:r>
              <w:rPr>
                <w:rFonts w:hint="eastAsia" w:ascii="宋体" w:hAnsi="宋体"/>
                <w:sz w:val="24"/>
              </w:rPr>
              <w:t>第二节</w:t>
            </w:r>
          </w:p>
          <w:p w14:paraId="554B8F1F">
            <w:pPr>
              <w:pageBreakBefore w:val="0"/>
              <w:spacing w:line="420" w:lineRule="exact"/>
              <w:jc w:val="center"/>
              <w:rPr>
                <w:rFonts w:ascii="宋体" w:hAnsi="宋体"/>
                <w:sz w:val="24"/>
              </w:rPr>
            </w:pPr>
            <w:r>
              <w:rPr>
                <w:rFonts w:hint="eastAsia" w:ascii="宋体" w:hAnsi="宋体"/>
                <w:sz w:val="24"/>
              </w:rPr>
              <w:t>第1.2（7）项</w:t>
            </w:r>
          </w:p>
        </w:tc>
        <w:tc>
          <w:tcPr>
            <w:tcW w:w="1789" w:type="dxa"/>
            <w:noWrap w:val="0"/>
            <w:vAlign w:val="center"/>
          </w:tcPr>
          <w:p w14:paraId="101A95F0">
            <w:pPr>
              <w:pageBreakBefore w:val="0"/>
              <w:spacing w:line="420" w:lineRule="exact"/>
              <w:jc w:val="left"/>
              <w:rPr>
                <w:rFonts w:ascii="宋体" w:hAnsi="宋体"/>
                <w:sz w:val="24"/>
              </w:rPr>
            </w:pPr>
            <w:r>
              <w:rPr>
                <w:rFonts w:hint="eastAsia" w:ascii="宋体" w:hAnsi="宋体"/>
                <w:sz w:val="24"/>
              </w:rPr>
              <w:t>其他术语解释</w:t>
            </w:r>
          </w:p>
        </w:tc>
        <w:tc>
          <w:tcPr>
            <w:tcW w:w="5170" w:type="dxa"/>
            <w:noWrap w:val="0"/>
            <w:vAlign w:val="center"/>
          </w:tcPr>
          <w:p w14:paraId="2D1A1ECD">
            <w:pPr>
              <w:pageBreakBefore w:val="0"/>
              <w:spacing w:line="420" w:lineRule="exact"/>
              <w:jc w:val="left"/>
              <w:rPr>
                <w:rFonts w:ascii="宋体" w:hAnsi="宋体"/>
                <w:sz w:val="24"/>
              </w:rPr>
            </w:pPr>
          </w:p>
        </w:tc>
      </w:tr>
      <w:tr w14:paraId="74DBC4E6">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736" w:hRule="atLeast"/>
        </w:trPr>
        <w:tc>
          <w:tcPr>
            <w:tcW w:w="1560" w:type="dxa"/>
            <w:noWrap w:val="0"/>
            <w:vAlign w:val="center"/>
          </w:tcPr>
          <w:p w14:paraId="45C42949">
            <w:pPr>
              <w:pageBreakBefore w:val="0"/>
              <w:spacing w:line="420" w:lineRule="exact"/>
              <w:jc w:val="center"/>
              <w:rPr>
                <w:rFonts w:ascii="宋体" w:hAnsi="宋体"/>
                <w:sz w:val="24"/>
              </w:rPr>
            </w:pPr>
            <w:r>
              <w:rPr>
                <w:rFonts w:hint="eastAsia" w:ascii="宋体" w:hAnsi="宋体"/>
                <w:sz w:val="24"/>
              </w:rPr>
              <w:t>第二节</w:t>
            </w:r>
          </w:p>
          <w:p w14:paraId="7808C95F">
            <w:pPr>
              <w:pageBreakBefore w:val="0"/>
              <w:spacing w:line="420" w:lineRule="exact"/>
              <w:jc w:val="center"/>
              <w:rPr>
                <w:rFonts w:ascii="宋体" w:hAnsi="宋体"/>
                <w:sz w:val="24"/>
              </w:rPr>
            </w:pPr>
            <w:r>
              <w:rPr>
                <w:rFonts w:hint="eastAsia" w:ascii="宋体" w:hAnsi="宋体"/>
                <w:sz w:val="24"/>
              </w:rPr>
              <w:t>第4.4款</w:t>
            </w:r>
          </w:p>
        </w:tc>
        <w:tc>
          <w:tcPr>
            <w:tcW w:w="1789" w:type="dxa"/>
            <w:noWrap w:val="0"/>
            <w:vAlign w:val="center"/>
          </w:tcPr>
          <w:p w14:paraId="466177BB">
            <w:pPr>
              <w:pageBreakBefore w:val="0"/>
              <w:spacing w:line="420" w:lineRule="exact"/>
              <w:jc w:val="left"/>
              <w:rPr>
                <w:rFonts w:ascii="宋体" w:hAnsi="宋体"/>
                <w:sz w:val="24"/>
              </w:rPr>
            </w:pPr>
            <w:r>
              <w:rPr>
                <w:rFonts w:hint="eastAsia" w:ascii="宋体" w:hAnsi="宋体"/>
                <w:sz w:val="24"/>
              </w:rPr>
              <w:t>履约验收中甲方提出异议或作出说明的期限</w:t>
            </w:r>
          </w:p>
        </w:tc>
        <w:tc>
          <w:tcPr>
            <w:tcW w:w="5170" w:type="dxa"/>
            <w:noWrap w:val="0"/>
            <w:vAlign w:val="center"/>
          </w:tcPr>
          <w:p w14:paraId="18AA33B6">
            <w:pPr>
              <w:pageBreakBefore w:val="0"/>
              <w:spacing w:line="420" w:lineRule="exact"/>
              <w:jc w:val="left"/>
              <w:rPr>
                <w:rFonts w:ascii="宋体" w:hAnsi="宋体"/>
                <w:sz w:val="24"/>
              </w:rPr>
            </w:pPr>
          </w:p>
        </w:tc>
      </w:tr>
      <w:tr w14:paraId="0A9E10EF">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736" w:hRule="atLeast"/>
        </w:trPr>
        <w:tc>
          <w:tcPr>
            <w:tcW w:w="1560" w:type="dxa"/>
            <w:noWrap w:val="0"/>
            <w:vAlign w:val="center"/>
          </w:tcPr>
          <w:p w14:paraId="04A55AC5">
            <w:pPr>
              <w:pageBreakBefore w:val="0"/>
              <w:spacing w:line="420" w:lineRule="exact"/>
              <w:jc w:val="center"/>
              <w:rPr>
                <w:rFonts w:ascii="宋体" w:hAnsi="宋体"/>
                <w:sz w:val="24"/>
              </w:rPr>
            </w:pPr>
            <w:r>
              <w:rPr>
                <w:rFonts w:hint="eastAsia" w:ascii="宋体" w:hAnsi="宋体"/>
                <w:sz w:val="24"/>
              </w:rPr>
              <w:t>第二节</w:t>
            </w:r>
          </w:p>
          <w:p w14:paraId="6D3A1855">
            <w:pPr>
              <w:pageBreakBefore w:val="0"/>
              <w:spacing w:line="420" w:lineRule="exact"/>
              <w:jc w:val="center"/>
              <w:rPr>
                <w:rFonts w:ascii="宋体" w:hAnsi="宋体"/>
                <w:sz w:val="24"/>
              </w:rPr>
            </w:pPr>
            <w:r>
              <w:rPr>
                <w:rFonts w:hint="eastAsia" w:ascii="宋体" w:hAnsi="宋体"/>
                <w:sz w:val="24"/>
              </w:rPr>
              <w:t>第4.6款</w:t>
            </w:r>
          </w:p>
        </w:tc>
        <w:tc>
          <w:tcPr>
            <w:tcW w:w="1789" w:type="dxa"/>
            <w:noWrap w:val="0"/>
            <w:vAlign w:val="center"/>
          </w:tcPr>
          <w:p w14:paraId="6328E683">
            <w:pPr>
              <w:pageBreakBefore w:val="0"/>
              <w:spacing w:line="420" w:lineRule="exact"/>
              <w:jc w:val="left"/>
              <w:rPr>
                <w:rFonts w:ascii="宋体" w:hAnsi="宋体"/>
                <w:sz w:val="24"/>
              </w:rPr>
            </w:pPr>
            <w:r>
              <w:rPr>
                <w:rFonts w:hint="eastAsia" w:ascii="宋体" w:hAnsi="宋体"/>
                <w:sz w:val="24"/>
              </w:rPr>
              <w:t>约定甲方承担的其他义务和责任</w:t>
            </w:r>
          </w:p>
        </w:tc>
        <w:tc>
          <w:tcPr>
            <w:tcW w:w="5170" w:type="dxa"/>
            <w:noWrap w:val="0"/>
            <w:vAlign w:val="center"/>
          </w:tcPr>
          <w:p w14:paraId="36A4629E">
            <w:pPr>
              <w:pageBreakBefore w:val="0"/>
              <w:spacing w:line="420" w:lineRule="exact"/>
              <w:jc w:val="left"/>
              <w:rPr>
                <w:rFonts w:ascii="宋体" w:hAnsi="宋体"/>
                <w:sz w:val="24"/>
              </w:rPr>
            </w:pPr>
          </w:p>
        </w:tc>
      </w:tr>
      <w:tr w14:paraId="5E5A437B">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736" w:hRule="atLeast"/>
        </w:trPr>
        <w:tc>
          <w:tcPr>
            <w:tcW w:w="1560" w:type="dxa"/>
            <w:noWrap w:val="0"/>
            <w:vAlign w:val="center"/>
          </w:tcPr>
          <w:p w14:paraId="2265556A">
            <w:pPr>
              <w:pageBreakBefore w:val="0"/>
              <w:spacing w:line="420" w:lineRule="exact"/>
              <w:jc w:val="center"/>
              <w:rPr>
                <w:rFonts w:ascii="宋体" w:hAnsi="宋体"/>
                <w:sz w:val="24"/>
              </w:rPr>
            </w:pPr>
            <w:r>
              <w:rPr>
                <w:rFonts w:hint="eastAsia" w:ascii="宋体" w:hAnsi="宋体"/>
                <w:sz w:val="24"/>
              </w:rPr>
              <w:t>第二节</w:t>
            </w:r>
          </w:p>
          <w:p w14:paraId="67E41E7B">
            <w:pPr>
              <w:pageBreakBefore w:val="0"/>
              <w:spacing w:line="420" w:lineRule="exact"/>
              <w:jc w:val="center"/>
              <w:rPr>
                <w:sz w:val="24"/>
              </w:rPr>
            </w:pPr>
            <w:r>
              <w:rPr>
                <w:rFonts w:hint="eastAsia" w:ascii="宋体" w:hAnsi="宋体"/>
                <w:sz w:val="24"/>
              </w:rPr>
              <w:t>第5.4款</w:t>
            </w:r>
          </w:p>
        </w:tc>
        <w:tc>
          <w:tcPr>
            <w:tcW w:w="1789" w:type="dxa"/>
            <w:noWrap w:val="0"/>
            <w:vAlign w:val="center"/>
          </w:tcPr>
          <w:p w14:paraId="03B32806">
            <w:pPr>
              <w:pageBreakBefore w:val="0"/>
              <w:spacing w:line="420" w:lineRule="exact"/>
              <w:jc w:val="left"/>
              <w:rPr>
                <w:rFonts w:ascii="宋体" w:hAnsi="宋体"/>
                <w:sz w:val="24"/>
              </w:rPr>
            </w:pPr>
            <w:r>
              <w:rPr>
                <w:rFonts w:hint="eastAsia" w:ascii="宋体" w:hAnsi="宋体"/>
                <w:sz w:val="24"/>
              </w:rPr>
              <w:t>约定乙方承担的其他义务和责任</w:t>
            </w:r>
          </w:p>
        </w:tc>
        <w:tc>
          <w:tcPr>
            <w:tcW w:w="5170" w:type="dxa"/>
            <w:noWrap w:val="0"/>
            <w:vAlign w:val="center"/>
          </w:tcPr>
          <w:p w14:paraId="7D614BD4">
            <w:pPr>
              <w:pageBreakBefore w:val="0"/>
              <w:spacing w:line="420" w:lineRule="exact"/>
              <w:jc w:val="left"/>
              <w:rPr>
                <w:rFonts w:ascii="宋体" w:hAnsi="宋体"/>
                <w:sz w:val="24"/>
              </w:rPr>
            </w:pPr>
          </w:p>
        </w:tc>
      </w:tr>
      <w:tr w14:paraId="01356DAA">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736" w:hRule="atLeast"/>
        </w:trPr>
        <w:tc>
          <w:tcPr>
            <w:tcW w:w="1560" w:type="dxa"/>
            <w:noWrap w:val="0"/>
            <w:vAlign w:val="center"/>
          </w:tcPr>
          <w:p w14:paraId="68A63762">
            <w:pPr>
              <w:pageBreakBefore w:val="0"/>
              <w:spacing w:line="420" w:lineRule="exact"/>
              <w:jc w:val="center"/>
              <w:rPr>
                <w:rFonts w:ascii="宋体" w:hAnsi="宋体"/>
                <w:sz w:val="24"/>
              </w:rPr>
            </w:pPr>
            <w:r>
              <w:rPr>
                <w:rFonts w:hint="eastAsia" w:ascii="宋体" w:hAnsi="宋体"/>
                <w:sz w:val="24"/>
              </w:rPr>
              <w:t>第二节</w:t>
            </w:r>
          </w:p>
          <w:p w14:paraId="5A32F3A3">
            <w:pPr>
              <w:pageBreakBefore w:val="0"/>
              <w:spacing w:line="420" w:lineRule="exact"/>
              <w:jc w:val="center"/>
              <w:rPr>
                <w:rFonts w:ascii="宋体" w:hAnsi="宋体"/>
                <w:sz w:val="24"/>
              </w:rPr>
            </w:pPr>
            <w:r>
              <w:rPr>
                <w:rFonts w:hint="eastAsia" w:ascii="宋体" w:hAnsi="宋体"/>
                <w:sz w:val="24"/>
              </w:rPr>
              <w:t>第6.1款</w:t>
            </w:r>
          </w:p>
        </w:tc>
        <w:tc>
          <w:tcPr>
            <w:tcW w:w="1789" w:type="dxa"/>
            <w:noWrap w:val="0"/>
            <w:vAlign w:val="center"/>
          </w:tcPr>
          <w:p w14:paraId="273099B2">
            <w:pPr>
              <w:pageBreakBefore w:val="0"/>
              <w:spacing w:line="420" w:lineRule="exact"/>
              <w:jc w:val="left"/>
              <w:rPr>
                <w:rFonts w:ascii="宋体" w:hAnsi="宋体"/>
                <w:sz w:val="24"/>
              </w:rPr>
            </w:pPr>
            <w:r>
              <w:rPr>
                <w:rFonts w:hint="eastAsia" w:ascii="宋体" w:hAnsi="宋体"/>
                <w:sz w:val="24"/>
              </w:rPr>
              <w:t>履行合同义务的顺序</w:t>
            </w:r>
          </w:p>
        </w:tc>
        <w:tc>
          <w:tcPr>
            <w:tcW w:w="5170" w:type="dxa"/>
            <w:noWrap w:val="0"/>
            <w:vAlign w:val="center"/>
          </w:tcPr>
          <w:p w14:paraId="2E6D3A68">
            <w:pPr>
              <w:pageBreakBefore w:val="0"/>
              <w:spacing w:line="420" w:lineRule="exact"/>
              <w:jc w:val="left"/>
              <w:rPr>
                <w:rFonts w:ascii="宋体" w:hAnsi="宋体"/>
                <w:sz w:val="24"/>
              </w:rPr>
            </w:pPr>
          </w:p>
        </w:tc>
      </w:tr>
      <w:tr w14:paraId="414204DA">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cantSplit/>
          <w:trHeight w:val="667" w:hRule="atLeast"/>
        </w:trPr>
        <w:tc>
          <w:tcPr>
            <w:tcW w:w="1560" w:type="dxa"/>
            <w:vMerge w:val="restart"/>
            <w:noWrap w:val="0"/>
            <w:vAlign w:val="center"/>
          </w:tcPr>
          <w:p w14:paraId="3B5DDBAE">
            <w:pPr>
              <w:pageBreakBefore w:val="0"/>
              <w:spacing w:line="420" w:lineRule="exact"/>
              <w:jc w:val="center"/>
              <w:rPr>
                <w:rFonts w:ascii="宋体" w:hAnsi="宋体"/>
                <w:sz w:val="24"/>
              </w:rPr>
            </w:pPr>
            <w:r>
              <w:rPr>
                <w:rFonts w:hint="eastAsia" w:ascii="宋体" w:hAnsi="宋体"/>
                <w:sz w:val="24"/>
              </w:rPr>
              <w:t>第二节</w:t>
            </w:r>
          </w:p>
          <w:p w14:paraId="66493948">
            <w:pPr>
              <w:pageBreakBefore w:val="0"/>
              <w:spacing w:line="420" w:lineRule="exact"/>
              <w:jc w:val="center"/>
              <w:rPr>
                <w:rFonts w:ascii="宋体" w:hAnsi="宋体"/>
                <w:sz w:val="24"/>
              </w:rPr>
            </w:pPr>
            <w:r>
              <w:rPr>
                <w:rFonts w:hint="eastAsia" w:ascii="宋体" w:hAnsi="宋体"/>
                <w:sz w:val="24"/>
              </w:rPr>
              <w:t>第7.1款</w:t>
            </w:r>
          </w:p>
        </w:tc>
        <w:tc>
          <w:tcPr>
            <w:tcW w:w="1789" w:type="dxa"/>
            <w:noWrap w:val="0"/>
            <w:vAlign w:val="center"/>
          </w:tcPr>
          <w:p w14:paraId="3803A1DB">
            <w:pPr>
              <w:pageBreakBefore w:val="0"/>
              <w:spacing w:line="420" w:lineRule="exact"/>
              <w:jc w:val="left"/>
              <w:rPr>
                <w:rFonts w:ascii="宋体" w:hAnsi="宋体"/>
                <w:sz w:val="24"/>
              </w:rPr>
            </w:pPr>
            <w:r>
              <w:rPr>
                <w:rFonts w:hint="eastAsia" w:ascii="宋体" w:hAnsi="宋体"/>
                <w:sz w:val="24"/>
              </w:rPr>
              <w:t>包装特殊要求</w:t>
            </w:r>
          </w:p>
        </w:tc>
        <w:tc>
          <w:tcPr>
            <w:tcW w:w="5170" w:type="dxa"/>
            <w:noWrap w:val="0"/>
            <w:vAlign w:val="center"/>
          </w:tcPr>
          <w:p w14:paraId="5187D35A">
            <w:pPr>
              <w:pageBreakBefore w:val="0"/>
              <w:spacing w:line="420" w:lineRule="exact"/>
              <w:rPr>
                <w:sz w:val="24"/>
              </w:rPr>
            </w:pPr>
            <w:r>
              <w:rPr>
                <w:rFonts w:hint="eastAsia"/>
                <w:sz w:val="24"/>
              </w:rPr>
              <w:t>本项目中涉及商品包装和快递包装的，金属件:使用泡泡纸覆盖包装 防止碰撞；板式件: 不同板件用捆扎带分类打包，边角处用瓦楞纸覆盖，防止损坏；塑料件和五金件: 使用瓦楞纸箱包装。使用包装材料应达参考《财政部办公厅关于印发《商品包装政府采购需求标准（试行）》、《快递包装政府采购需求标准（试行）》的通知》（财办库〔2020〕123号）规定的包装需求标准，现场包装物有供应商负责清理，做到：</w:t>
            </w:r>
          </w:p>
          <w:p w14:paraId="1813124D">
            <w:pPr>
              <w:pageBreakBefore w:val="0"/>
              <w:spacing w:line="420" w:lineRule="exact"/>
              <w:rPr>
                <w:sz w:val="24"/>
              </w:rPr>
            </w:pPr>
            <w:r>
              <w:rPr>
                <w:rFonts w:hint="eastAsia"/>
                <w:sz w:val="24"/>
              </w:rPr>
              <w:t>1.商品包装层数不得超过3 层，空隙率不大于40%；</w:t>
            </w:r>
          </w:p>
          <w:p w14:paraId="2FB3DDB9">
            <w:pPr>
              <w:pageBreakBefore w:val="0"/>
              <w:spacing w:line="420" w:lineRule="exact"/>
              <w:rPr>
                <w:sz w:val="24"/>
              </w:rPr>
            </w:pPr>
            <w:r>
              <w:rPr>
                <w:rFonts w:hint="eastAsia"/>
                <w:sz w:val="24"/>
              </w:rPr>
              <w:t>2.商品包装尽可能使用单一材质的包装材料，如因功能需求必需使用不同材质，不同材质间应便于分离；</w:t>
            </w:r>
          </w:p>
          <w:p w14:paraId="4582B7A6">
            <w:pPr>
              <w:pageBreakBefore w:val="0"/>
              <w:spacing w:line="420" w:lineRule="exact"/>
              <w:rPr>
                <w:sz w:val="24"/>
              </w:rPr>
            </w:pPr>
            <w:r>
              <w:rPr>
                <w:rFonts w:hint="eastAsia"/>
                <w:sz w:val="24"/>
              </w:rPr>
              <w:t>3.商品包装中铅、汞、镉、六价铬的总含量应不大于100mg/kg；</w:t>
            </w:r>
          </w:p>
          <w:p w14:paraId="727B303D">
            <w:pPr>
              <w:pageBreakBefore w:val="0"/>
              <w:spacing w:line="420" w:lineRule="exact"/>
              <w:rPr>
                <w:sz w:val="24"/>
              </w:rPr>
            </w:pPr>
            <w:r>
              <w:rPr>
                <w:rFonts w:hint="eastAsia"/>
                <w:sz w:val="24"/>
              </w:rPr>
              <w:t>4.商品包装印刷使用的油墨中挥发性有机化合物(VOCs)含量应不大于 5%（以重量计）；</w:t>
            </w:r>
          </w:p>
          <w:p w14:paraId="1E344E0C">
            <w:pPr>
              <w:pageBreakBefore w:val="0"/>
              <w:spacing w:line="420" w:lineRule="exact"/>
              <w:rPr>
                <w:sz w:val="24"/>
              </w:rPr>
            </w:pPr>
            <w:r>
              <w:rPr>
                <w:rFonts w:hint="eastAsia"/>
                <w:sz w:val="24"/>
              </w:rPr>
              <w:t>5.塑料材质商品包装上呈现的印刷颜色不得超过6色；</w:t>
            </w:r>
          </w:p>
          <w:p w14:paraId="295C5AD8">
            <w:pPr>
              <w:pageBreakBefore w:val="0"/>
              <w:spacing w:line="420" w:lineRule="exact"/>
              <w:rPr>
                <w:sz w:val="24"/>
              </w:rPr>
            </w:pPr>
            <w:r>
              <w:rPr>
                <w:rFonts w:hint="eastAsia"/>
                <w:sz w:val="24"/>
              </w:rPr>
              <w:t>6.纸质商品包装应使用75%以上的可再生纤维原料生产；</w:t>
            </w:r>
          </w:p>
          <w:p w14:paraId="5B33D450">
            <w:pPr>
              <w:pageBreakBefore w:val="0"/>
              <w:spacing w:line="420" w:lineRule="exact"/>
              <w:rPr>
                <w:sz w:val="24"/>
              </w:rPr>
            </w:pPr>
            <w:r>
              <w:rPr>
                <w:rFonts w:hint="eastAsia"/>
                <w:sz w:val="24"/>
              </w:rPr>
              <w:t>7.木质商品包装的原料应来源于可持续性森林。</w:t>
            </w:r>
          </w:p>
          <w:p w14:paraId="12432599">
            <w:pPr>
              <w:pageBreakBefore w:val="0"/>
              <w:spacing w:line="420" w:lineRule="exact"/>
              <w:rPr>
                <w:sz w:val="24"/>
              </w:rPr>
            </w:pPr>
            <w:r>
              <w:rPr>
                <w:rFonts w:hint="eastAsia"/>
                <w:sz w:val="24"/>
              </w:rPr>
              <w:t>8.除合同另有规定外，乙方提供的全部货物均应按标准保护措施进行包装。该包装应适应于远距离运输、防潮、防震、防锈和防野蛮装卸，以确保货物安全无损运抵指定现场。由于包装不善所引起的货物锈蚀、损坏和损失均由乙方承担。</w:t>
            </w:r>
          </w:p>
          <w:p w14:paraId="0EE6EB85">
            <w:pPr>
              <w:pageBreakBefore w:val="0"/>
              <w:spacing w:line="420" w:lineRule="exact"/>
              <w:rPr>
                <w:sz w:val="24"/>
              </w:rPr>
            </w:pPr>
            <w:r>
              <w:rPr>
                <w:rFonts w:hint="eastAsia"/>
                <w:sz w:val="24"/>
              </w:rPr>
              <w:t>9每件包装箱内应附一份详细装箱单和质量合格凭证。</w:t>
            </w:r>
          </w:p>
          <w:p w14:paraId="407EE59A">
            <w:pPr>
              <w:pageBreakBefore w:val="0"/>
              <w:spacing w:line="420" w:lineRule="exact"/>
              <w:rPr>
                <w:sz w:val="24"/>
              </w:rPr>
            </w:pPr>
          </w:p>
        </w:tc>
      </w:tr>
      <w:tr w14:paraId="02BF6177">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cantSplit/>
          <w:trHeight w:val="667" w:hRule="atLeast"/>
        </w:trPr>
        <w:tc>
          <w:tcPr>
            <w:tcW w:w="1560" w:type="dxa"/>
            <w:vMerge w:val="continue"/>
            <w:noWrap w:val="0"/>
            <w:vAlign w:val="center"/>
          </w:tcPr>
          <w:p w14:paraId="621A5819">
            <w:pPr>
              <w:pageBreakBefore w:val="0"/>
              <w:spacing w:line="420" w:lineRule="exact"/>
              <w:jc w:val="center"/>
              <w:rPr>
                <w:rFonts w:ascii="宋体" w:hAnsi="宋体"/>
                <w:sz w:val="24"/>
              </w:rPr>
            </w:pPr>
          </w:p>
        </w:tc>
        <w:tc>
          <w:tcPr>
            <w:tcW w:w="1789" w:type="dxa"/>
            <w:noWrap w:val="0"/>
            <w:vAlign w:val="center"/>
          </w:tcPr>
          <w:p w14:paraId="39E9E064">
            <w:pPr>
              <w:pageBreakBefore w:val="0"/>
              <w:spacing w:line="420" w:lineRule="exact"/>
              <w:jc w:val="left"/>
              <w:rPr>
                <w:rFonts w:ascii="宋体" w:hAnsi="宋体"/>
                <w:sz w:val="24"/>
              </w:rPr>
            </w:pPr>
            <w:r>
              <w:rPr>
                <w:rFonts w:hint="eastAsia" w:ascii="宋体" w:hAnsi="宋体"/>
                <w:sz w:val="24"/>
              </w:rPr>
              <w:t>指定现场</w:t>
            </w:r>
          </w:p>
        </w:tc>
        <w:tc>
          <w:tcPr>
            <w:tcW w:w="5170" w:type="dxa"/>
            <w:noWrap w:val="0"/>
            <w:vAlign w:val="center"/>
          </w:tcPr>
          <w:p w14:paraId="4F552005">
            <w:pPr>
              <w:pageBreakBefore w:val="0"/>
              <w:spacing w:line="420" w:lineRule="exact"/>
              <w:jc w:val="left"/>
              <w:rPr>
                <w:sz w:val="24"/>
              </w:rPr>
            </w:pPr>
          </w:p>
        </w:tc>
      </w:tr>
      <w:tr w14:paraId="54BEE15A">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772" w:hRule="atLeast"/>
        </w:trPr>
        <w:tc>
          <w:tcPr>
            <w:tcW w:w="1560" w:type="dxa"/>
            <w:noWrap w:val="0"/>
            <w:vAlign w:val="center"/>
          </w:tcPr>
          <w:p w14:paraId="2D157597">
            <w:pPr>
              <w:pageBreakBefore w:val="0"/>
              <w:spacing w:line="420" w:lineRule="exact"/>
              <w:jc w:val="center"/>
              <w:rPr>
                <w:rFonts w:ascii="宋体" w:hAnsi="宋体"/>
                <w:sz w:val="24"/>
              </w:rPr>
            </w:pPr>
            <w:r>
              <w:rPr>
                <w:rFonts w:hint="eastAsia" w:ascii="宋体" w:hAnsi="宋体"/>
                <w:sz w:val="24"/>
              </w:rPr>
              <w:t>第二节</w:t>
            </w:r>
          </w:p>
          <w:p w14:paraId="0A2505BD">
            <w:pPr>
              <w:pageBreakBefore w:val="0"/>
              <w:spacing w:line="420" w:lineRule="exact"/>
              <w:jc w:val="center"/>
              <w:rPr>
                <w:rFonts w:ascii="宋体" w:hAnsi="宋体"/>
                <w:sz w:val="24"/>
              </w:rPr>
            </w:pPr>
            <w:r>
              <w:rPr>
                <w:rFonts w:hint="eastAsia" w:ascii="宋体" w:hAnsi="宋体"/>
                <w:sz w:val="24"/>
              </w:rPr>
              <w:t>第7.2款</w:t>
            </w:r>
          </w:p>
        </w:tc>
        <w:tc>
          <w:tcPr>
            <w:tcW w:w="1789" w:type="dxa"/>
            <w:noWrap w:val="0"/>
            <w:vAlign w:val="center"/>
          </w:tcPr>
          <w:p w14:paraId="1AF2CFD9">
            <w:pPr>
              <w:pageBreakBefore w:val="0"/>
              <w:spacing w:line="420" w:lineRule="exact"/>
              <w:jc w:val="left"/>
              <w:rPr>
                <w:rFonts w:ascii="宋体" w:hAnsi="宋体"/>
                <w:sz w:val="24"/>
              </w:rPr>
            </w:pPr>
            <w:r>
              <w:rPr>
                <w:rFonts w:hint="eastAsia" w:ascii="宋体" w:hAnsi="宋体"/>
                <w:sz w:val="24"/>
              </w:rPr>
              <w:t>运输特殊要求</w:t>
            </w:r>
          </w:p>
        </w:tc>
        <w:tc>
          <w:tcPr>
            <w:tcW w:w="5170" w:type="dxa"/>
            <w:noWrap w:val="0"/>
            <w:vAlign w:val="center"/>
          </w:tcPr>
          <w:p w14:paraId="67E8E4DA">
            <w:pPr>
              <w:pageBreakBefore w:val="0"/>
              <w:spacing w:line="420" w:lineRule="exact"/>
              <w:rPr>
                <w:sz w:val="24"/>
              </w:rPr>
            </w:pPr>
            <w:r>
              <w:rPr>
                <w:rFonts w:hint="eastAsia"/>
                <w:sz w:val="24"/>
              </w:rPr>
              <w:t>1.货物验收合格、交付使用并提供所需单据的日期视为交货日期。</w:t>
            </w:r>
          </w:p>
          <w:p w14:paraId="18AE6845">
            <w:pPr>
              <w:pStyle w:val="226"/>
              <w:pageBreakBefore w:val="0"/>
              <w:spacing w:line="420" w:lineRule="exact"/>
              <w:ind w:firstLine="0"/>
              <w:rPr>
                <w:rFonts w:ascii="Times New Roman" w:hAnsi="Times New Roman" w:eastAsia="宋体" w:cs="Times New Roman"/>
                <w:sz w:val="24"/>
                <w:szCs w:val="24"/>
              </w:rPr>
            </w:pPr>
            <w:r>
              <w:rPr>
                <w:rFonts w:hint="eastAsia" w:ascii="Times New Roman" w:hAnsi="Times New Roman" w:eastAsia="宋体" w:cs="Times New Roman"/>
                <w:sz w:val="24"/>
                <w:szCs w:val="24"/>
              </w:rPr>
              <w:t>2.乙方在货物发运手续办理完毕后24小时内或货到48小时前通知甲方，以准备接货。（具体时间根据双方实际需求调整）</w:t>
            </w:r>
          </w:p>
          <w:p w14:paraId="48C24773">
            <w:pPr>
              <w:pageBreakBefore w:val="0"/>
              <w:spacing w:line="420" w:lineRule="exact"/>
              <w:rPr>
                <w:sz w:val="24"/>
              </w:rPr>
            </w:pPr>
            <w:r>
              <w:rPr>
                <w:rFonts w:hint="eastAsia"/>
                <w:sz w:val="24"/>
              </w:rPr>
              <w:t>3.乙方装运的货物不应超过合同规定的数量或重量。乙方应对超交数量或超重而产生的一切后果负责。</w:t>
            </w:r>
          </w:p>
          <w:p w14:paraId="42D8263F">
            <w:pPr>
              <w:pStyle w:val="226"/>
              <w:pageBreakBefore w:val="0"/>
              <w:spacing w:line="420" w:lineRule="exact"/>
              <w:ind w:firstLine="0"/>
            </w:pPr>
            <w:r>
              <w:rPr>
                <w:rFonts w:hint="eastAsia" w:ascii="Times New Roman" w:hAnsi="Times New Roman" w:eastAsia="宋体" w:cs="Times New Roman"/>
                <w:sz w:val="24"/>
                <w:szCs w:val="24"/>
              </w:rPr>
              <w:t>4.货物在交付甲方前发生的风险均由乙方负责。</w:t>
            </w:r>
          </w:p>
        </w:tc>
      </w:tr>
      <w:tr w14:paraId="01AC7DA7">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667" w:hRule="atLeast"/>
        </w:trPr>
        <w:tc>
          <w:tcPr>
            <w:tcW w:w="1560" w:type="dxa"/>
            <w:noWrap w:val="0"/>
            <w:vAlign w:val="center"/>
          </w:tcPr>
          <w:p w14:paraId="2113AB10">
            <w:pPr>
              <w:pageBreakBefore w:val="0"/>
              <w:spacing w:line="420" w:lineRule="exact"/>
              <w:jc w:val="center"/>
              <w:rPr>
                <w:rFonts w:ascii="宋体" w:hAnsi="宋体"/>
                <w:sz w:val="24"/>
              </w:rPr>
            </w:pPr>
            <w:r>
              <w:rPr>
                <w:rFonts w:hint="eastAsia" w:ascii="宋体" w:hAnsi="宋体"/>
                <w:sz w:val="24"/>
              </w:rPr>
              <w:t>第二节</w:t>
            </w:r>
          </w:p>
          <w:p w14:paraId="7F2B6508">
            <w:pPr>
              <w:pageBreakBefore w:val="0"/>
              <w:spacing w:line="420" w:lineRule="exact"/>
              <w:jc w:val="center"/>
              <w:rPr>
                <w:rFonts w:ascii="宋体" w:hAnsi="宋体"/>
                <w:sz w:val="24"/>
              </w:rPr>
            </w:pPr>
            <w:r>
              <w:rPr>
                <w:rFonts w:hint="eastAsia" w:ascii="宋体" w:hAnsi="宋体"/>
                <w:sz w:val="24"/>
              </w:rPr>
              <w:t>第7.3款</w:t>
            </w:r>
          </w:p>
        </w:tc>
        <w:tc>
          <w:tcPr>
            <w:tcW w:w="1789" w:type="dxa"/>
            <w:noWrap w:val="0"/>
            <w:vAlign w:val="center"/>
          </w:tcPr>
          <w:p w14:paraId="45FAA81F">
            <w:pPr>
              <w:pageBreakBefore w:val="0"/>
              <w:spacing w:line="420" w:lineRule="exact"/>
              <w:jc w:val="left"/>
              <w:rPr>
                <w:rFonts w:ascii="宋体" w:hAnsi="宋体"/>
                <w:sz w:val="24"/>
              </w:rPr>
            </w:pPr>
            <w:r>
              <w:rPr>
                <w:rFonts w:hint="eastAsia" w:ascii="宋体" w:hAnsi="宋体"/>
                <w:sz w:val="24"/>
              </w:rPr>
              <w:t>保险要求</w:t>
            </w:r>
          </w:p>
        </w:tc>
        <w:tc>
          <w:tcPr>
            <w:tcW w:w="5170" w:type="dxa"/>
            <w:noWrap w:val="0"/>
            <w:vAlign w:val="center"/>
          </w:tcPr>
          <w:p w14:paraId="745FC944">
            <w:pPr>
              <w:pageBreakBefore w:val="0"/>
              <w:spacing w:line="420" w:lineRule="exact"/>
              <w:rPr>
                <w:sz w:val="24"/>
              </w:rPr>
            </w:pPr>
            <w:r>
              <w:rPr>
                <w:sz w:val="24"/>
              </w:rPr>
              <w:t>货物交货前由乙方承担保险义务</w:t>
            </w:r>
          </w:p>
        </w:tc>
      </w:tr>
      <w:tr w14:paraId="71A40132">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736" w:hRule="atLeast"/>
        </w:trPr>
        <w:tc>
          <w:tcPr>
            <w:tcW w:w="1560" w:type="dxa"/>
            <w:noWrap w:val="0"/>
            <w:vAlign w:val="center"/>
          </w:tcPr>
          <w:p w14:paraId="6EAA9B75">
            <w:pPr>
              <w:pageBreakBefore w:val="0"/>
              <w:spacing w:line="420" w:lineRule="exact"/>
              <w:jc w:val="center"/>
              <w:rPr>
                <w:rFonts w:ascii="宋体" w:hAnsi="宋体"/>
                <w:sz w:val="24"/>
              </w:rPr>
            </w:pPr>
            <w:r>
              <w:rPr>
                <w:rFonts w:hint="eastAsia" w:ascii="宋体" w:hAnsi="宋体"/>
                <w:sz w:val="24"/>
              </w:rPr>
              <w:t>第二节</w:t>
            </w:r>
          </w:p>
          <w:p w14:paraId="1EE868C8">
            <w:pPr>
              <w:pageBreakBefore w:val="0"/>
              <w:spacing w:line="420" w:lineRule="exact"/>
              <w:jc w:val="center"/>
              <w:rPr>
                <w:rFonts w:ascii="宋体" w:hAnsi="宋体"/>
                <w:sz w:val="24"/>
              </w:rPr>
            </w:pPr>
            <w:r>
              <w:rPr>
                <w:rFonts w:hint="eastAsia" w:ascii="宋体" w:hAnsi="宋体"/>
                <w:sz w:val="24"/>
              </w:rPr>
              <w:t>第8.2（1）项</w:t>
            </w:r>
          </w:p>
        </w:tc>
        <w:tc>
          <w:tcPr>
            <w:tcW w:w="1789" w:type="dxa"/>
            <w:noWrap w:val="0"/>
            <w:vAlign w:val="center"/>
          </w:tcPr>
          <w:p w14:paraId="5450D48B">
            <w:pPr>
              <w:pStyle w:val="226"/>
              <w:pageBreakBefore w:val="0"/>
              <w:spacing w:line="420" w:lineRule="exact"/>
              <w:ind w:firstLine="0"/>
              <w:rPr>
                <w:rFonts w:hint="eastAsia" w:ascii="Times New Roman" w:hAnsi="Times New Roman" w:eastAsia="宋体" w:cs="Times New Roman"/>
                <w:sz w:val="24"/>
                <w:szCs w:val="24"/>
              </w:rPr>
            </w:pPr>
            <w:r>
              <w:rPr>
                <w:rFonts w:hint="eastAsia" w:ascii="Times New Roman" w:hAnsi="Times New Roman" w:eastAsia="宋体" w:cs="Times New Roman"/>
                <w:sz w:val="24"/>
                <w:szCs w:val="24"/>
              </w:rPr>
              <w:t>质量保证期</w:t>
            </w:r>
          </w:p>
        </w:tc>
        <w:tc>
          <w:tcPr>
            <w:tcW w:w="5170" w:type="dxa"/>
            <w:noWrap w:val="0"/>
            <w:vAlign w:val="center"/>
          </w:tcPr>
          <w:p w14:paraId="5C4D2DB0">
            <w:pPr>
              <w:pStyle w:val="226"/>
              <w:pageBreakBefore w:val="0"/>
              <w:spacing w:line="420" w:lineRule="exact"/>
              <w:ind w:firstLine="0"/>
              <w:rPr>
                <w:rFonts w:hint="eastAsia" w:ascii="Times New Roman" w:hAnsi="Times New Roman" w:eastAsia="宋体" w:cs="Times New Roman"/>
                <w:sz w:val="24"/>
                <w:szCs w:val="24"/>
              </w:rPr>
            </w:pPr>
            <w:r>
              <w:rPr>
                <w:rFonts w:hint="eastAsia" w:ascii="Times New Roman" w:hAnsi="Times New Roman" w:eastAsia="宋体" w:cs="Times New Roman"/>
                <w:sz w:val="24"/>
                <w:szCs w:val="24"/>
              </w:rPr>
              <w:t>自车辆验收合格之日起3年或者行驶里程60000公里，以先到者为准。（自交货验收合格之日起计），因人为因素出现的故障不在免费保修范围内。超过保修期的机器设备，终生维修，维修时只收部件成本费。</w:t>
            </w:r>
          </w:p>
        </w:tc>
      </w:tr>
      <w:tr w14:paraId="30A486A9">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736" w:hRule="atLeast"/>
        </w:trPr>
        <w:tc>
          <w:tcPr>
            <w:tcW w:w="1560" w:type="dxa"/>
            <w:noWrap w:val="0"/>
            <w:vAlign w:val="center"/>
          </w:tcPr>
          <w:p w14:paraId="37F80115">
            <w:pPr>
              <w:pageBreakBefore w:val="0"/>
              <w:spacing w:line="420" w:lineRule="exact"/>
              <w:jc w:val="center"/>
              <w:rPr>
                <w:rFonts w:ascii="宋体" w:hAnsi="宋体"/>
                <w:sz w:val="24"/>
              </w:rPr>
            </w:pPr>
            <w:r>
              <w:rPr>
                <w:rFonts w:hint="eastAsia" w:ascii="宋体" w:hAnsi="宋体"/>
                <w:sz w:val="24"/>
              </w:rPr>
              <w:t>第二节</w:t>
            </w:r>
          </w:p>
          <w:p w14:paraId="6AEC8152">
            <w:pPr>
              <w:pageBreakBefore w:val="0"/>
              <w:spacing w:line="420" w:lineRule="exact"/>
              <w:jc w:val="center"/>
              <w:rPr>
                <w:rFonts w:ascii="宋体" w:hAnsi="宋体"/>
                <w:sz w:val="24"/>
              </w:rPr>
            </w:pPr>
            <w:r>
              <w:rPr>
                <w:rFonts w:hint="eastAsia" w:ascii="宋体" w:hAnsi="宋体"/>
                <w:sz w:val="24"/>
              </w:rPr>
              <w:t>第8.2（3）项</w:t>
            </w:r>
          </w:p>
        </w:tc>
        <w:tc>
          <w:tcPr>
            <w:tcW w:w="1789" w:type="dxa"/>
            <w:noWrap w:val="0"/>
            <w:vAlign w:val="center"/>
          </w:tcPr>
          <w:p w14:paraId="1EEB90AB">
            <w:pPr>
              <w:pageBreakBefore w:val="0"/>
              <w:spacing w:line="420" w:lineRule="exact"/>
              <w:jc w:val="left"/>
              <w:rPr>
                <w:rFonts w:ascii="宋体" w:hAnsi="宋体"/>
                <w:sz w:val="24"/>
              </w:rPr>
            </w:pPr>
            <w:r>
              <w:rPr>
                <w:rFonts w:hint="eastAsia" w:ascii="宋体" w:hAnsi="宋体"/>
                <w:sz w:val="24"/>
              </w:rPr>
              <w:t>货物质量缺陷</w:t>
            </w:r>
          </w:p>
          <w:p w14:paraId="3979E511">
            <w:pPr>
              <w:pageBreakBefore w:val="0"/>
              <w:spacing w:line="420" w:lineRule="exact"/>
              <w:jc w:val="left"/>
              <w:rPr>
                <w:rFonts w:ascii="宋体" w:hAnsi="宋体"/>
                <w:sz w:val="24"/>
              </w:rPr>
            </w:pPr>
            <w:r>
              <w:rPr>
                <w:rFonts w:hint="eastAsia" w:ascii="宋体" w:hAnsi="宋体"/>
                <w:sz w:val="24"/>
              </w:rPr>
              <w:t>响应时间</w:t>
            </w:r>
          </w:p>
        </w:tc>
        <w:tc>
          <w:tcPr>
            <w:tcW w:w="5170" w:type="dxa"/>
            <w:noWrap w:val="0"/>
            <w:vAlign w:val="center"/>
          </w:tcPr>
          <w:p w14:paraId="573DFBE4">
            <w:pPr>
              <w:pageBreakBefore w:val="0"/>
              <w:spacing w:line="420" w:lineRule="exact"/>
              <w:jc w:val="left"/>
              <w:rPr>
                <w:rFonts w:ascii="宋体" w:hAnsi="宋体"/>
                <w:sz w:val="24"/>
              </w:rPr>
            </w:pPr>
            <w:r>
              <w:rPr>
                <w:rFonts w:hint="eastAsia" w:ascii="宋体" w:hAnsi="宋体"/>
                <w:sz w:val="24"/>
              </w:rPr>
              <w:t xml:space="preserve"> 如在使用过程中发生质量问题，乙方在接到甲方通知后在_________小时内到达甲方现场。</w:t>
            </w:r>
          </w:p>
        </w:tc>
      </w:tr>
      <w:tr w14:paraId="2F65AC36">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736" w:hRule="atLeast"/>
        </w:trPr>
        <w:tc>
          <w:tcPr>
            <w:tcW w:w="1560" w:type="dxa"/>
            <w:noWrap w:val="0"/>
            <w:vAlign w:val="center"/>
          </w:tcPr>
          <w:p w14:paraId="2D14AA82">
            <w:pPr>
              <w:pageBreakBefore w:val="0"/>
              <w:spacing w:line="420" w:lineRule="exact"/>
              <w:jc w:val="center"/>
              <w:rPr>
                <w:rFonts w:ascii="宋体" w:hAnsi="宋体"/>
                <w:sz w:val="24"/>
              </w:rPr>
            </w:pPr>
            <w:r>
              <w:rPr>
                <w:rFonts w:hint="eastAsia" w:ascii="宋体" w:hAnsi="宋体"/>
                <w:sz w:val="24"/>
              </w:rPr>
              <w:t>第二节</w:t>
            </w:r>
          </w:p>
          <w:p w14:paraId="5311DAA6">
            <w:pPr>
              <w:pageBreakBefore w:val="0"/>
              <w:spacing w:line="420" w:lineRule="exact"/>
              <w:jc w:val="center"/>
              <w:rPr>
                <w:rFonts w:ascii="宋体" w:hAnsi="宋体"/>
                <w:sz w:val="24"/>
              </w:rPr>
            </w:pPr>
            <w:r>
              <w:rPr>
                <w:rFonts w:hint="eastAsia" w:ascii="宋体" w:hAnsi="宋体"/>
                <w:sz w:val="24"/>
              </w:rPr>
              <w:t>第8款补充</w:t>
            </w:r>
          </w:p>
        </w:tc>
        <w:tc>
          <w:tcPr>
            <w:tcW w:w="1789" w:type="dxa"/>
            <w:noWrap w:val="0"/>
            <w:vAlign w:val="center"/>
          </w:tcPr>
          <w:p w14:paraId="345AB276">
            <w:pPr>
              <w:pageBreakBefore w:val="0"/>
              <w:spacing w:line="420" w:lineRule="exact"/>
              <w:jc w:val="left"/>
              <w:rPr>
                <w:rFonts w:ascii="宋体" w:hAnsi="宋体"/>
                <w:sz w:val="24"/>
              </w:rPr>
            </w:pPr>
            <w:r>
              <w:rPr>
                <w:rFonts w:hint="eastAsia" w:ascii="宋体" w:hAnsi="宋体"/>
                <w:sz w:val="24"/>
              </w:rPr>
              <w:t>质量保证要求</w:t>
            </w:r>
          </w:p>
        </w:tc>
        <w:tc>
          <w:tcPr>
            <w:tcW w:w="5170" w:type="dxa"/>
            <w:noWrap w:val="0"/>
            <w:vAlign w:val="center"/>
          </w:tcPr>
          <w:p w14:paraId="0951F5C4">
            <w:pPr>
              <w:pageBreakBefore w:val="0"/>
              <w:spacing w:line="420" w:lineRule="exact"/>
              <w:jc w:val="left"/>
              <w:rPr>
                <w:rFonts w:ascii="宋体" w:hAnsi="宋体"/>
                <w:sz w:val="24"/>
              </w:rPr>
            </w:pPr>
            <w:r>
              <w:rPr>
                <w:rFonts w:hint="eastAsia" w:ascii="宋体" w:hAnsi="宋体"/>
                <w:sz w:val="24"/>
              </w:rPr>
              <w:t>1. 在质保期内，乙方应对货物出现的质量及安全问题负责处理解决并承担一切费用（因甲方不当使用的除外）。</w:t>
            </w:r>
          </w:p>
          <w:p w14:paraId="43563444">
            <w:pPr>
              <w:pageBreakBefore w:val="0"/>
              <w:spacing w:line="420" w:lineRule="exact"/>
              <w:jc w:val="left"/>
              <w:rPr>
                <w:rFonts w:ascii="宋体" w:hAnsi="宋体"/>
                <w:sz w:val="24"/>
              </w:rPr>
            </w:pPr>
            <w:r>
              <w:rPr>
                <w:rFonts w:hint="eastAsia" w:ascii="宋体" w:hAnsi="宋体"/>
                <w:sz w:val="24"/>
              </w:rPr>
              <w:t>2.乙方应按照国家有关法律法规规章和“三包”规定以及</w:t>
            </w:r>
            <w:r>
              <w:rPr>
                <w:rFonts w:hint="eastAsia" w:ascii="仿宋" w:hAnsi="仿宋" w:eastAsia="仿宋" w:cs="仿宋"/>
                <w:color w:val="333333"/>
                <w:sz w:val="28"/>
                <w:szCs w:val="28"/>
                <w:shd w:val="clear" w:color="auto" w:fill="FFFFFF"/>
              </w:rPr>
              <w:t>询价</w:t>
            </w:r>
            <w:r>
              <w:rPr>
                <w:rFonts w:hint="eastAsia" w:ascii="宋体" w:hAnsi="宋体"/>
                <w:sz w:val="24"/>
              </w:rPr>
              <w:t>文件售后服务要求及响应文件售后服务承诺提供售后服务。</w:t>
            </w:r>
          </w:p>
          <w:p w14:paraId="16D7E8F4">
            <w:pPr>
              <w:pageBreakBefore w:val="0"/>
              <w:spacing w:line="420" w:lineRule="exact"/>
              <w:jc w:val="left"/>
              <w:rPr>
                <w:rFonts w:ascii="宋体" w:hAnsi="宋体"/>
                <w:sz w:val="24"/>
              </w:rPr>
            </w:pPr>
            <w:r>
              <w:rPr>
                <w:rFonts w:hint="eastAsia" w:ascii="宋体" w:hAnsi="宋体"/>
                <w:sz w:val="24"/>
              </w:rPr>
              <w:t>3.所有货物保修服务方式均为乙方上门保修，由乙方派员到货物使用现场维修，所产生的一切费用由乙方承担（双方视项目情况调整）。</w:t>
            </w:r>
          </w:p>
          <w:p w14:paraId="15FBD9EC">
            <w:pPr>
              <w:pageBreakBefore w:val="0"/>
              <w:spacing w:line="420" w:lineRule="exact"/>
              <w:jc w:val="left"/>
              <w:rPr>
                <w:rFonts w:ascii="宋体" w:hAnsi="宋体"/>
                <w:sz w:val="24"/>
              </w:rPr>
            </w:pPr>
            <w:r>
              <w:rPr>
                <w:rFonts w:hint="eastAsia" w:ascii="宋体" w:hAnsi="宋体"/>
                <w:sz w:val="24"/>
              </w:rPr>
              <w:t>4.乙方负责提供本项目范围内所使用的所有货物、材料、装置的原产地证明、质保文件和相应的等级标准证明并承诺向甲方提供有关产品制造的质保证明。乙方所提供的货物，若技术性能无特殊说明，则按国家有关部门最新颁布的产品标准为准。</w:t>
            </w:r>
          </w:p>
          <w:p w14:paraId="5B7D8EC9">
            <w:pPr>
              <w:pageBreakBefore w:val="0"/>
              <w:spacing w:line="420" w:lineRule="exact"/>
              <w:jc w:val="left"/>
              <w:rPr>
                <w:rFonts w:ascii="宋体" w:hAnsi="宋体"/>
                <w:sz w:val="24"/>
              </w:rPr>
            </w:pPr>
            <w:r>
              <w:rPr>
                <w:rFonts w:hint="eastAsia" w:ascii="宋体" w:hAnsi="宋体"/>
                <w:sz w:val="24"/>
              </w:rPr>
              <w:t>5.甲方有权对乙方进行飞行检查，如果发现任何问题乙方必须无条件返工，甚至可以终止合同，乙方需赔偿甲方因此而造成的所有损失，飞行检查过程中发生的食宿、交通等费用由甲方自行承担。</w:t>
            </w:r>
          </w:p>
          <w:p w14:paraId="5EF339FA">
            <w:pPr>
              <w:pageBreakBefore w:val="0"/>
              <w:spacing w:line="420" w:lineRule="exact"/>
              <w:jc w:val="left"/>
              <w:rPr>
                <w:rFonts w:ascii="宋体" w:hAnsi="宋体"/>
                <w:sz w:val="24"/>
              </w:rPr>
            </w:pPr>
            <w:r>
              <w:rPr>
                <w:rFonts w:hint="eastAsia" w:ascii="宋体" w:hAnsi="宋体"/>
                <w:sz w:val="24"/>
              </w:rPr>
              <w:t>6.货物、材料运抵现场后，在甲方和甲方聘请的监理或质检人员在场的情况下进行开箱检验后由乙方负责保管。必要时甲方可以采取破坏性检验，将有关货物和材料送货物到达地的质检部门检验，如果检验合格，检验费由甲方负担；如果检验不合格，则检验费由乙方负担。</w:t>
            </w:r>
          </w:p>
          <w:p w14:paraId="7D950AA0">
            <w:pPr>
              <w:pageBreakBefore w:val="0"/>
              <w:spacing w:line="420" w:lineRule="exact"/>
              <w:jc w:val="left"/>
              <w:rPr>
                <w:rFonts w:ascii="宋体" w:hAnsi="宋体"/>
                <w:sz w:val="24"/>
              </w:rPr>
            </w:pPr>
            <w:r>
              <w:rPr>
                <w:rFonts w:hint="eastAsia" w:ascii="宋体" w:hAnsi="宋体"/>
                <w:sz w:val="24"/>
              </w:rPr>
              <w:t>7.对货物的品牌、型号、数量、产地等进行检查和清点，同类型的所有货物和材料应属同一制造商的同一地产品。如检验中发现短缺、损坏或假冒伪劣商品，乙方应立即采取补救措施，不得因此影响供货，否则一切损失由乙方负责。</w:t>
            </w:r>
          </w:p>
          <w:p w14:paraId="4E18D1E4">
            <w:pPr>
              <w:pageBreakBefore w:val="0"/>
              <w:spacing w:line="420" w:lineRule="exact"/>
              <w:jc w:val="left"/>
            </w:pPr>
            <w:r>
              <w:rPr>
                <w:rFonts w:hint="eastAsia" w:ascii="宋体" w:hAnsi="宋体"/>
                <w:sz w:val="24"/>
              </w:rPr>
              <w:t>8.乙方应保证货物是全新、未使用过的，是用一流的工艺和最佳材料制造的、合法渠道进货的正宗、未使用过的原装合格正品，产品质量完全符合国家规定的产品质量标准，并完全符合合同规定的质量、规格和性能的要求。乙方应保证其货物在正确安装、正常使用和保养条件下，在其使用寿命期内应具有满意的性能。</w:t>
            </w:r>
          </w:p>
        </w:tc>
      </w:tr>
      <w:tr w14:paraId="7317E49F">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736" w:hRule="atLeast"/>
        </w:trPr>
        <w:tc>
          <w:tcPr>
            <w:tcW w:w="1560" w:type="dxa"/>
            <w:noWrap w:val="0"/>
            <w:vAlign w:val="center"/>
          </w:tcPr>
          <w:p w14:paraId="1B045FD9">
            <w:pPr>
              <w:pageBreakBefore w:val="0"/>
              <w:spacing w:line="420" w:lineRule="exact"/>
              <w:jc w:val="center"/>
              <w:rPr>
                <w:rFonts w:ascii="宋体" w:hAnsi="宋体" w:cs="宋体"/>
                <w:sz w:val="24"/>
              </w:rPr>
            </w:pPr>
            <w:r>
              <w:rPr>
                <w:rFonts w:hint="eastAsia" w:ascii="宋体" w:hAnsi="宋体" w:cs="宋体"/>
                <w:sz w:val="24"/>
              </w:rPr>
              <w:t>第二节</w:t>
            </w:r>
          </w:p>
          <w:p w14:paraId="0EF7347E">
            <w:pPr>
              <w:pageBreakBefore w:val="0"/>
              <w:widowControl/>
              <w:spacing w:line="420" w:lineRule="exact"/>
              <w:jc w:val="center"/>
              <w:rPr>
                <w:rFonts w:ascii="华文楷体" w:hAnsi="华文楷体" w:eastAsia="华文楷体" w:cs="华文楷体"/>
                <w:sz w:val="24"/>
              </w:rPr>
            </w:pPr>
            <w:r>
              <w:rPr>
                <w:rFonts w:hint="eastAsia" w:ascii="宋体" w:hAnsi="宋体" w:cs="宋体"/>
                <w:sz w:val="24"/>
              </w:rPr>
              <w:t>第11.1款</w:t>
            </w:r>
          </w:p>
        </w:tc>
        <w:tc>
          <w:tcPr>
            <w:tcW w:w="1789" w:type="dxa"/>
            <w:noWrap w:val="0"/>
            <w:vAlign w:val="center"/>
          </w:tcPr>
          <w:p w14:paraId="41BA39DA">
            <w:pPr>
              <w:pageBreakBefore w:val="0"/>
              <w:spacing w:line="420" w:lineRule="exact"/>
              <w:rPr>
                <w:rFonts w:ascii="宋体" w:hAnsi="宋体"/>
                <w:sz w:val="24"/>
              </w:rPr>
            </w:pPr>
            <w:r>
              <w:rPr>
                <w:rFonts w:hint="eastAsia" w:ascii="宋体" w:hAnsi="宋体"/>
                <w:sz w:val="24"/>
              </w:rPr>
              <w:t>其他应当保密的信息</w:t>
            </w:r>
          </w:p>
        </w:tc>
        <w:tc>
          <w:tcPr>
            <w:tcW w:w="5170" w:type="dxa"/>
            <w:noWrap w:val="0"/>
            <w:vAlign w:val="center"/>
          </w:tcPr>
          <w:p w14:paraId="4809B45A">
            <w:pPr>
              <w:pageBreakBefore w:val="0"/>
              <w:spacing w:line="420" w:lineRule="exact"/>
              <w:jc w:val="left"/>
              <w:rPr>
                <w:rFonts w:ascii="宋体" w:hAnsi="宋体"/>
                <w:sz w:val="24"/>
              </w:rPr>
            </w:pPr>
          </w:p>
        </w:tc>
      </w:tr>
      <w:tr w14:paraId="1555A23F">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697" w:hRule="atLeast"/>
        </w:trPr>
        <w:tc>
          <w:tcPr>
            <w:tcW w:w="1560" w:type="dxa"/>
            <w:noWrap w:val="0"/>
            <w:vAlign w:val="center"/>
          </w:tcPr>
          <w:p w14:paraId="05A87382">
            <w:pPr>
              <w:pageBreakBefore w:val="0"/>
              <w:spacing w:line="420" w:lineRule="exact"/>
              <w:jc w:val="center"/>
              <w:rPr>
                <w:rFonts w:ascii="宋体" w:hAnsi="宋体"/>
                <w:sz w:val="24"/>
              </w:rPr>
            </w:pPr>
            <w:r>
              <w:rPr>
                <w:rFonts w:hint="eastAsia" w:ascii="宋体" w:hAnsi="宋体"/>
                <w:sz w:val="24"/>
              </w:rPr>
              <w:t>第二节</w:t>
            </w:r>
          </w:p>
          <w:p w14:paraId="4C79FDEC">
            <w:pPr>
              <w:pageBreakBefore w:val="0"/>
              <w:spacing w:line="420" w:lineRule="exact"/>
              <w:jc w:val="center"/>
              <w:rPr>
                <w:rFonts w:ascii="宋体" w:hAnsi="宋体"/>
                <w:sz w:val="24"/>
              </w:rPr>
            </w:pPr>
            <w:r>
              <w:rPr>
                <w:rFonts w:hint="eastAsia" w:ascii="宋体" w:hAnsi="宋体"/>
                <w:sz w:val="24"/>
              </w:rPr>
              <w:t>第12.2款</w:t>
            </w:r>
          </w:p>
        </w:tc>
        <w:tc>
          <w:tcPr>
            <w:tcW w:w="1789" w:type="dxa"/>
            <w:noWrap w:val="0"/>
            <w:vAlign w:val="center"/>
          </w:tcPr>
          <w:p w14:paraId="23A6C03C">
            <w:pPr>
              <w:pageBreakBefore w:val="0"/>
              <w:spacing w:line="420" w:lineRule="exact"/>
              <w:jc w:val="left"/>
              <w:rPr>
                <w:rFonts w:ascii="宋体" w:hAnsi="宋体"/>
                <w:sz w:val="24"/>
              </w:rPr>
            </w:pPr>
            <w:r>
              <w:rPr>
                <w:rFonts w:hint="eastAsia" w:ascii="宋体" w:hAnsi="宋体"/>
                <w:sz w:val="24"/>
              </w:rPr>
              <w:t>合同价款支付时间及要求</w:t>
            </w:r>
          </w:p>
        </w:tc>
        <w:tc>
          <w:tcPr>
            <w:tcW w:w="5170" w:type="dxa"/>
            <w:noWrap w:val="0"/>
            <w:vAlign w:val="center"/>
          </w:tcPr>
          <w:p w14:paraId="4A7D69EE">
            <w:pPr>
              <w:pageBreakBefore w:val="0"/>
              <w:spacing w:line="420" w:lineRule="exact"/>
              <w:jc w:val="left"/>
              <w:rPr>
                <w:rFonts w:ascii="宋体" w:hAnsi="宋体"/>
                <w:sz w:val="24"/>
              </w:rPr>
            </w:pPr>
            <w:r>
              <w:rPr>
                <w:rFonts w:hint="eastAsia" w:ascii="宋体" w:hAnsi="宋体"/>
                <w:sz w:val="24"/>
              </w:rPr>
              <w:t>1.合同款项的支付方式及进度安排：</w:t>
            </w:r>
          </w:p>
          <w:p w14:paraId="2F014ECC">
            <w:pPr>
              <w:keepNext w:val="0"/>
              <w:keepLines w:val="0"/>
              <w:pageBreakBefore w:val="0"/>
              <w:widowControl w:val="0"/>
              <w:spacing w:line="440" w:lineRule="exact"/>
              <w:ind w:firstLine="417"/>
              <w:rPr>
                <w:rFonts w:hint="eastAsia" w:ascii="宋体" w:hAnsi="宋体" w:eastAsia="宋体" w:cs="Times New Roman"/>
                <w:color w:val="0000FF"/>
                <w:sz w:val="24"/>
                <w:szCs w:val="24"/>
                <w:highlight w:val="none"/>
                <w:u w:val="single"/>
                <w:lang w:val="en-US" w:eastAsia="zh-CN"/>
              </w:rPr>
            </w:pPr>
            <w:r>
              <w:rPr>
                <w:rFonts w:hint="eastAsia" w:ascii="宋体" w:hAnsi="宋体" w:eastAsia="宋体" w:cs="Times New Roman"/>
                <w:color w:val="0000FF"/>
                <w:sz w:val="24"/>
                <w:szCs w:val="24"/>
                <w:highlight w:val="none"/>
                <w:u w:val="single"/>
                <w:lang w:val="en-US" w:eastAsia="zh-CN"/>
              </w:rPr>
              <w:t>合同签订后</w:t>
            </w:r>
            <w:r>
              <w:rPr>
                <w:rFonts w:hint="eastAsia" w:ascii="宋体" w:hAnsi="宋体" w:cs="Times New Roman"/>
                <w:color w:val="0000FF"/>
                <w:sz w:val="24"/>
                <w:szCs w:val="24"/>
                <w:highlight w:val="none"/>
                <w:u w:val="single"/>
                <w:lang w:val="en-US" w:eastAsia="zh-CN"/>
              </w:rPr>
              <w:t>十</w:t>
            </w:r>
            <w:r>
              <w:rPr>
                <w:rFonts w:hint="eastAsia" w:ascii="宋体" w:hAnsi="宋体" w:eastAsia="宋体" w:cs="Times New Roman"/>
                <w:color w:val="0000FF"/>
                <w:sz w:val="24"/>
                <w:szCs w:val="24"/>
                <w:highlight w:val="none"/>
                <w:u w:val="single"/>
                <w:lang w:val="en-US" w:eastAsia="zh-CN"/>
              </w:rPr>
              <w:t>日内，预付款支付比例：支付合同金额的30%，（支付预付款前乙方须提供增值税发票和等价格预付款银行保函。）</w:t>
            </w:r>
          </w:p>
          <w:p w14:paraId="50520EBD">
            <w:pPr>
              <w:keepNext w:val="0"/>
              <w:keepLines w:val="0"/>
              <w:pageBreakBefore w:val="0"/>
              <w:widowControl w:val="0"/>
              <w:spacing w:line="440" w:lineRule="exact"/>
              <w:ind w:firstLine="417"/>
              <w:rPr>
                <w:rFonts w:hint="eastAsia" w:ascii="宋体" w:hAnsi="宋体" w:eastAsia="宋体" w:cs="Times New Roman"/>
                <w:color w:val="0000FF"/>
                <w:sz w:val="24"/>
                <w:szCs w:val="24"/>
                <w:highlight w:val="none"/>
                <w:u w:val="single"/>
                <w:lang w:val="en-US" w:eastAsia="zh-CN"/>
              </w:rPr>
            </w:pPr>
            <w:r>
              <w:rPr>
                <w:rFonts w:hint="eastAsia" w:ascii="宋体" w:hAnsi="宋体" w:eastAsia="宋体" w:cs="Times New Roman"/>
                <w:color w:val="0000FF"/>
                <w:sz w:val="24"/>
                <w:szCs w:val="24"/>
                <w:highlight w:val="none"/>
                <w:u w:val="single"/>
                <w:lang w:val="en-US" w:eastAsia="zh-CN"/>
              </w:rPr>
              <w:t>注：乙方向甲方申请预付款时，应向甲方提供合法有效提供增值税发票和等价格预付款银行保函，否则甲方有权迟延付款且不承担逾期付款违约责任。中标人也可以放弃预付款，如放弃预付款的，中标人应向采购人出具放弃预付款的声明函。</w:t>
            </w:r>
          </w:p>
          <w:p w14:paraId="04EADABD">
            <w:pPr>
              <w:keepNext w:val="0"/>
              <w:keepLines w:val="0"/>
              <w:pageBreakBefore w:val="0"/>
              <w:widowControl w:val="0"/>
              <w:spacing w:line="440" w:lineRule="exact"/>
              <w:ind w:firstLine="417"/>
              <w:rPr>
                <w:rFonts w:hint="eastAsia" w:ascii="宋体" w:hAnsi="宋体" w:eastAsia="宋体" w:cs="Times New Roman"/>
                <w:b/>
                <w:bCs/>
                <w:color w:val="000000"/>
                <w:sz w:val="24"/>
                <w:szCs w:val="24"/>
                <w:highlight w:val="yellow"/>
                <w:u w:val="single"/>
                <w:lang w:val="en-US" w:eastAsia="zh-CN"/>
              </w:rPr>
            </w:pPr>
            <w:r>
              <w:rPr>
                <w:rFonts w:hint="eastAsia" w:ascii="宋体" w:hAnsi="宋体" w:eastAsia="宋体" w:cs="Times New Roman"/>
                <w:color w:val="0000FF"/>
                <w:sz w:val="24"/>
                <w:szCs w:val="24"/>
                <w:highlight w:val="none"/>
                <w:u w:val="single"/>
                <w:lang w:val="en-US" w:eastAsia="zh-CN"/>
              </w:rPr>
              <w:t xml:space="preserve"> 尾款支付时间：车辆上牌验收合格交付后60天内无质量问题一次性付清</w:t>
            </w:r>
            <w:r>
              <w:rPr>
                <w:rFonts w:hint="eastAsia" w:ascii="宋体" w:hAnsi="宋体" w:cs="Times New Roman"/>
                <w:color w:val="0000FF"/>
                <w:sz w:val="24"/>
                <w:szCs w:val="24"/>
                <w:highlight w:val="none"/>
                <w:u w:val="single"/>
                <w:lang w:val="en-US" w:eastAsia="zh-CN"/>
              </w:rPr>
              <w:t>尾款</w:t>
            </w:r>
            <w:r>
              <w:rPr>
                <w:rFonts w:hint="eastAsia" w:ascii="宋体" w:hAnsi="宋体" w:eastAsia="宋体" w:cs="Times New Roman"/>
                <w:color w:val="0000FF"/>
                <w:sz w:val="24"/>
                <w:szCs w:val="24"/>
                <w:highlight w:val="none"/>
                <w:u w:val="single"/>
                <w:lang w:val="en-US" w:eastAsia="zh-CN"/>
              </w:rPr>
              <w:t>（以上付款均无息）</w:t>
            </w:r>
            <w:r>
              <w:rPr>
                <w:rFonts w:hint="eastAsia" w:ascii="宋体" w:hAnsi="宋体" w:eastAsia="宋体" w:cs="Times New Roman"/>
                <w:color w:val="0000FF"/>
                <w:sz w:val="24"/>
                <w:szCs w:val="24"/>
                <w:highlight w:val="none"/>
                <w:u w:val="none"/>
                <w:lang w:val="en-US" w:eastAsia="zh-CN"/>
              </w:rPr>
              <w:t>。</w:t>
            </w:r>
          </w:p>
          <w:p w14:paraId="46166E69">
            <w:pPr>
              <w:pageBreakBefore w:val="0"/>
              <w:spacing w:line="420" w:lineRule="exact"/>
              <w:jc w:val="left"/>
              <w:rPr>
                <w:rFonts w:ascii="宋体" w:hAnsi="宋体"/>
                <w:sz w:val="24"/>
              </w:rPr>
            </w:pPr>
            <w:r>
              <w:rPr>
                <w:rFonts w:hint="eastAsia" w:ascii="宋体" w:hAnsi="宋体"/>
                <w:sz w:val="24"/>
              </w:rPr>
              <w:t>2.当合同采购数量与实际使用数量不一致时，乙方应根据实际使用量供货，合同的最终结算金额按实际使用量乘以成交单价进行计算。乙方应按照与甲方签订的合同规定交货。交货后乙方应向甲方提供下列单据，甲方按合同规定审核后付款：</w:t>
            </w:r>
          </w:p>
          <w:p w14:paraId="76FF2DF9">
            <w:pPr>
              <w:pageBreakBefore w:val="0"/>
              <w:spacing w:line="420" w:lineRule="exact"/>
              <w:jc w:val="left"/>
              <w:rPr>
                <w:rFonts w:ascii="宋体" w:hAnsi="宋体"/>
                <w:sz w:val="24"/>
              </w:rPr>
            </w:pPr>
            <w:r>
              <w:rPr>
                <w:rFonts w:hint="eastAsia" w:ascii="宋体" w:hAnsi="宋体"/>
                <w:sz w:val="24"/>
              </w:rPr>
              <w:t>(1) 发票；</w:t>
            </w:r>
          </w:p>
          <w:p w14:paraId="62F3A33E">
            <w:pPr>
              <w:pageBreakBefore w:val="0"/>
              <w:spacing w:line="420" w:lineRule="exact"/>
              <w:jc w:val="left"/>
              <w:rPr>
                <w:rFonts w:ascii="宋体" w:hAnsi="宋体"/>
                <w:sz w:val="24"/>
              </w:rPr>
            </w:pPr>
            <w:r>
              <w:rPr>
                <w:rFonts w:hint="eastAsia" w:ascii="宋体" w:hAnsi="宋体"/>
                <w:sz w:val="24"/>
              </w:rPr>
              <w:t>(2) 制造厂家出具的质量检验证书等；</w:t>
            </w:r>
          </w:p>
          <w:p w14:paraId="7FDC55D7">
            <w:pPr>
              <w:pageBreakBefore w:val="0"/>
              <w:spacing w:line="420" w:lineRule="exact"/>
              <w:jc w:val="left"/>
              <w:rPr>
                <w:rFonts w:ascii="宋体" w:hAnsi="宋体"/>
                <w:sz w:val="24"/>
              </w:rPr>
            </w:pPr>
            <w:r>
              <w:rPr>
                <w:rFonts w:hint="eastAsia" w:ascii="宋体" w:hAnsi="宋体"/>
                <w:sz w:val="24"/>
              </w:rPr>
              <w:t>(3) 装箱单；</w:t>
            </w:r>
          </w:p>
          <w:p w14:paraId="4CD15319">
            <w:pPr>
              <w:pageBreakBefore w:val="0"/>
              <w:spacing w:line="420" w:lineRule="exact"/>
              <w:jc w:val="left"/>
              <w:rPr>
                <w:sz w:val="24"/>
              </w:rPr>
            </w:pPr>
            <w:r>
              <w:rPr>
                <w:rFonts w:hint="eastAsia" w:ascii="宋体" w:hAnsi="宋体"/>
                <w:sz w:val="24"/>
              </w:rPr>
              <w:t>(4) 甲方加盖公章证明交付使用合格的验收单。</w:t>
            </w:r>
          </w:p>
        </w:tc>
      </w:tr>
      <w:tr w14:paraId="303FBAE2">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697" w:hRule="atLeast"/>
        </w:trPr>
        <w:tc>
          <w:tcPr>
            <w:tcW w:w="1560" w:type="dxa"/>
            <w:noWrap w:val="0"/>
            <w:vAlign w:val="center"/>
          </w:tcPr>
          <w:p w14:paraId="53BB4E3A">
            <w:pPr>
              <w:pageBreakBefore w:val="0"/>
              <w:spacing w:line="420" w:lineRule="exact"/>
              <w:jc w:val="center"/>
              <w:rPr>
                <w:rFonts w:ascii="宋体" w:hAnsi="宋体"/>
                <w:sz w:val="24"/>
              </w:rPr>
            </w:pPr>
            <w:r>
              <w:rPr>
                <w:rFonts w:hint="eastAsia" w:ascii="宋体" w:hAnsi="宋体"/>
                <w:sz w:val="24"/>
              </w:rPr>
              <w:t>第二节</w:t>
            </w:r>
          </w:p>
          <w:p w14:paraId="318E1DAD">
            <w:pPr>
              <w:pageBreakBefore w:val="0"/>
              <w:spacing w:line="420" w:lineRule="exact"/>
              <w:jc w:val="center"/>
              <w:rPr>
                <w:rFonts w:ascii="宋体" w:hAnsi="宋体"/>
                <w:sz w:val="24"/>
              </w:rPr>
            </w:pPr>
            <w:r>
              <w:rPr>
                <w:rFonts w:hint="eastAsia" w:ascii="宋体" w:hAnsi="宋体"/>
                <w:sz w:val="24"/>
              </w:rPr>
              <w:t>第13.2款</w:t>
            </w:r>
          </w:p>
        </w:tc>
        <w:tc>
          <w:tcPr>
            <w:tcW w:w="1789" w:type="dxa"/>
            <w:noWrap w:val="0"/>
            <w:vAlign w:val="center"/>
          </w:tcPr>
          <w:p w14:paraId="10DEBF04">
            <w:pPr>
              <w:pageBreakBefore w:val="0"/>
              <w:spacing w:line="420" w:lineRule="exact"/>
              <w:jc w:val="left"/>
              <w:rPr>
                <w:rFonts w:ascii="宋体" w:hAnsi="宋体"/>
                <w:sz w:val="24"/>
              </w:rPr>
            </w:pPr>
            <w:r>
              <w:rPr>
                <w:rFonts w:hint="eastAsia" w:ascii="宋体" w:hAnsi="宋体"/>
                <w:sz w:val="24"/>
              </w:rPr>
              <w:t>履约保证金不予退还的情形</w:t>
            </w:r>
          </w:p>
        </w:tc>
        <w:tc>
          <w:tcPr>
            <w:tcW w:w="5170" w:type="dxa"/>
            <w:noWrap w:val="0"/>
            <w:vAlign w:val="center"/>
          </w:tcPr>
          <w:p w14:paraId="19C55A60">
            <w:pPr>
              <w:pageBreakBefore w:val="0"/>
              <w:spacing w:line="420" w:lineRule="exact"/>
              <w:rPr>
                <w:rFonts w:ascii="宋体" w:hAnsi="宋体" w:cs="宋体"/>
                <w:sz w:val="24"/>
              </w:rPr>
            </w:pPr>
            <w:r>
              <w:rPr>
                <w:rFonts w:hint="eastAsia" w:ascii="宋体" w:hAnsi="宋体" w:cs="宋体"/>
                <w:sz w:val="24"/>
              </w:rPr>
              <w:t>除不可抗力情况外，投标人出现下列情形之一的，其履约保证金，招标人将视情节决定不予退还或部分不予退还。</w:t>
            </w:r>
          </w:p>
          <w:p w14:paraId="2606484C">
            <w:pPr>
              <w:pageBreakBefore w:val="0"/>
              <w:spacing w:line="420" w:lineRule="exact"/>
              <w:rPr>
                <w:rFonts w:ascii="宋体" w:hAnsi="宋体" w:cs="宋体"/>
                <w:sz w:val="24"/>
              </w:rPr>
            </w:pPr>
            <w:r>
              <w:rPr>
                <w:rFonts w:hint="eastAsia" w:ascii="宋体" w:hAnsi="宋体" w:cs="宋体"/>
                <w:sz w:val="24"/>
              </w:rPr>
              <w:t>（1）中标人无正当理由拒绝签订合同的，或者在签订合同时向采购人提出附加条件或者更改合同实质性内容要求的；</w:t>
            </w:r>
          </w:p>
          <w:p w14:paraId="36BE0A37">
            <w:pPr>
              <w:pageBreakBefore w:val="0"/>
              <w:spacing w:line="420" w:lineRule="exact"/>
              <w:rPr>
                <w:rFonts w:ascii="宋体" w:hAnsi="宋体" w:cs="宋体"/>
                <w:sz w:val="24"/>
              </w:rPr>
            </w:pPr>
            <w:r>
              <w:rPr>
                <w:rFonts w:hint="eastAsia" w:ascii="宋体" w:hAnsi="宋体" w:cs="宋体"/>
                <w:sz w:val="24"/>
              </w:rPr>
              <w:t>（2）中标人不履行与采购人订立的合同的；</w:t>
            </w:r>
          </w:p>
          <w:p w14:paraId="710A6D50">
            <w:pPr>
              <w:pageBreakBefore w:val="0"/>
              <w:spacing w:line="420" w:lineRule="exact"/>
              <w:rPr>
                <w:rFonts w:ascii="宋体" w:hAnsi="宋体" w:cs="宋体"/>
                <w:sz w:val="24"/>
              </w:rPr>
            </w:pPr>
            <w:r>
              <w:rPr>
                <w:rFonts w:hint="eastAsia" w:ascii="宋体" w:hAnsi="宋体" w:cs="宋体"/>
                <w:sz w:val="24"/>
              </w:rPr>
              <w:t>（3）中标人所供货物或服务不符合</w:t>
            </w:r>
            <w:r>
              <w:rPr>
                <w:rFonts w:hint="eastAsia" w:ascii="仿宋" w:hAnsi="仿宋" w:eastAsia="仿宋" w:cs="仿宋"/>
                <w:color w:val="333333"/>
                <w:sz w:val="28"/>
                <w:szCs w:val="28"/>
                <w:shd w:val="clear" w:color="auto" w:fill="FFFFFF"/>
              </w:rPr>
              <w:t>询价</w:t>
            </w:r>
            <w:r>
              <w:rPr>
                <w:rFonts w:hint="eastAsia" w:ascii="宋体" w:hAnsi="宋体" w:cs="宋体"/>
                <w:sz w:val="24"/>
              </w:rPr>
              <w:t>文件规定要求的；</w:t>
            </w:r>
          </w:p>
          <w:p w14:paraId="2A2F35F3">
            <w:pPr>
              <w:pageBreakBefore w:val="0"/>
              <w:spacing w:line="420" w:lineRule="exact"/>
              <w:rPr>
                <w:rFonts w:ascii="宋体" w:hAnsi="宋体" w:cs="宋体"/>
                <w:sz w:val="24"/>
              </w:rPr>
            </w:pPr>
            <w:r>
              <w:rPr>
                <w:rFonts w:hint="eastAsia" w:ascii="宋体" w:hAnsi="宋体" w:cs="宋体"/>
                <w:sz w:val="24"/>
              </w:rPr>
              <w:t>（4）中标人采取欺骗、弄虚作假方式投标的或与其它投标人串通投标的；</w:t>
            </w:r>
          </w:p>
          <w:p w14:paraId="6286132E">
            <w:pPr>
              <w:pageBreakBefore w:val="0"/>
              <w:spacing w:line="420" w:lineRule="exact"/>
              <w:rPr>
                <w:rFonts w:ascii="宋体" w:hAnsi="宋体" w:cs="宋体"/>
                <w:sz w:val="24"/>
              </w:rPr>
            </w:pPr>
            <w:r>
              <w:rPr>
                <w:rFonts w:hint="eastAsia" w:ascii="宋体" w:hAnsi="宋体" w:cs="宋体"/>
                <w:sz w:val="24"/>
              </w:rPr>
              <w:t>（5）中标人将合同内容转包、违法分包的；</w:t>
            </w:r>
          </w:p>
          <w:p w14:paraId="52C2F8E1">
            <w:pPr>
              <w:pageBreakBefore w:val="0"/>
              <w:spacing w:line="420" w:lineRule="exact"/>
              <w:rPr>
                <w:rFonts w:ascii="宋体" w:hAnsi="宋体"/>
                <w:sz w:val="24"/>
              </w:rPr>
            </w:pPr>
            <w:r>
              <w:rPr>
                <w:rFonts w:hint="eastAsia" w:ascii="宋体" w:hAnsi="宋体" w:cs="宋体"/>
                <w:sz w:val="24"/>
              </w:rPr>
              <w:t>（6）中标人故意捏造事实或伪造证明材料，进行虚假恶意投诉或反映的。</w:t>
            </w:r>
          </w:p>
        </w:tc>
      </w:tr>
      <w:tr w14:paraId="3DF414FE">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736" w:hRule="atLeast"/>
        </w:trPr>
        <w:tc>
          <w:tcPr>
            <w:tcW w:w="1560" w:type="dxa"/>
            <w:noWrap w:val="0"/>
            <w:vAlign w:val="center"/>
          </w:tcPr>
          <w:p w14:paraId="2B51F02A">
            <w:pPr>
              <w:pageBreakBefore w:val="0"/>
              <w:spacing w:line="420" w:lineRule="exact"/>
              <w:jc w:val="center"/>
              <w:rPr>
                <w:rFonts w:ascii="宋体" w:hAnsi="宋体"/>
                <w:sz w:val="24"/>
              </w:rPr>
            </w:pPr>
            <w:r>
              <w:rPr>
                <w:rFonts w:hint="eastAsia" w:ascii="宋体" w:hAnsi="宋体"/>
                <w:sz w:val="24"/>
              </w:rPr>
              <w:t>第二节</w:t>
            </w:r>
          </w:p>
          <w:p w14:paraId="6DD96473">
            <w:pPr>
              <w:pageBreakBefore w:val="0"/>
              <w:spacing w:line="420" w:lineRule="exact"/>
              <w:jc w:val="center"/>
              <w:rPr>
                <w:rFonts w:ascii="宋体" w:hAnsi="宋体"/>
                <w:sz w:val="24"/>
              </w:rPr>
            </w:pPr>
            <w:r>
              <w:rPr>
                <w:rFonts w:hint="eastAsia" w:ascii="宋体" w:hAnsi="宋体"/>
                <w:sz w:val="24"/>
              </w:rPr>
              <w:t>第13.3款</w:t>
            </w:r>
          </w:p>
        </w:tc>
        <w:tc>
          <w:tcPr>
            <w:tcW w:w="1789" w:type="dxa"/>
            <w:noWrap w:val="0"/>
            <w:vAlign w:val="center"/>
          </w:tcPr>
          <w:p w14:paraId="107ECF8F">
            <w:pPr>
              <w:pageBreakBefore w:val="0"/>
              <w:spacing w:line="420" w:lineRule="exact"/>
              <w:jc w:val="left"/>
              <w:rPr>
                <w:rFonts w:ascii="宋体" w:hAnsi="宋体" w:cs="宋体"/>
                <w:sz w:val="24"/>
              </w:rPr>
            </w:pPr>
            <w:r>
              <w:rPr>
                <w:rFonts w:hint="eastAsia" w:ascii="宋体" w:hAnsi="宋体" w:cs="宋体"/>
                <w:sz w:val="24"/>
              </w:rPr>
              <w:t>履约保证金退还时间及逾期退还的违约金</w:t>
            </w:r>
          </w:p>
        </w:tc>
        <w:tc>
          <w:tcPr>
            <w:tcW w:w="5170" w:type="dxa"/>
            <w:noWrap w:val="0"/>
            <w:vAlign w:val="center"/>
          </w:tcPr>
          <w:p w14:paraId="666A492F">
            <w:pPr>
              <w:pageBreakBefore w:val="0"/>
              <w:spacing w:line="420" w:lineRule="exact"/>
              <w:rPr>
                <w:rFonts w:ascii="宋体" w:hAnsi="宋体" w:cs="宋体"/>
                <w:sz w:val="24"/>
              </w:rPr>
            </w:pPr>
            <w:r>
              <w:rPr>
                <w:rFonts w:hint="eastAsia" w:ascii="宋体" w:hAnsi="宋体" w:cs="宋体"/>
                <w:sz w:val="24"/>
              </w:rPr>
              <w:t>1、合同履行结束后，甲方应及时退还交纳的履约保证金。</w:t>
            </w:r>
          </w:p>
          <w:p w14:paraId="46A0FEF0">
            <w:pPr>
              <w:pageBreakBefore w:val="0"/>
              <w:spacing w:line="420" w:lineRule="exact"/>
              <w:rPr>
                <w:rFonts w:ascii="宋体" w:hAnsi="宋体" w:cs="宋体"/>
                <w:sz w:val="24"/>
              </w:rPr>
            </w:pPr>
            <w:r>
              <w:rPr>
                <w:rFonts w:hint="eastAsia" w:ascii="宋体" w:hAnsi="宋体" w:cs="宋体"/>
                <w:sz w:val="24"/>
              </w:rPr>
              <w:t>2、退还方式：退还至投标人缴纳履约保证金的账户。如为保函，在到期时自行失效。</w:t>
            </w:r>
          </w:p>
          <w:p w14:paraId="0CF4F35F">
            <w:pPr>
              <w:pageBreakBefore w:val="0"/>
              <w:spacing w:line="420" w:lineRule="exact"/>
              <w:rPr>
                <w:rFonts w:ascii="宋体" w:hAnsi="宋体" w:cs="宋体"/>
                <w:sz w:val="24"/>
              </w:rPr>
            </w:pPr>
            <w:r>
              <w:rPr>
                <w:rFonts w:hint="eastAsia" w:ascii="宋体" w:hAnsi="宋体" w:cs="宋体"/>
                <w:sz w:val="24"/>
              </w:rPr>
              <w:t>3、退还时间：验收合格且甲方收到发票后30日内。</w:t>
            </w:r>
          </w:p>
          <w:p w14:paraId="61F6E845">
            <w:pPr>
              <w:pageBreakBefore w:val="0"/>
              <w:spacing w:line="420" w:lineRule="exact"/>
              <w:rPr>
                <w:rFonts w:ascii="宋体" w:hAnsi="宋体" w:cs="宋体"/>
                <w:sz w:val="24"/>
              </w:rPr>
            </w:pPr>
            <w:r>
              <w:rPr>
                <w:rFonts w:hint="eastAsia" w:ascii="宋体" w:hAnsi="宋体" w:cs="宋体"/>
                <w:sz w:val="24"/>
              </w:rPr>
              <w:t>4、退还条件：按合同要求全部履约完成并经采购人验收合格，且采购人收到中标人出具的发票。</w:t>
            </w:r>
          </w:p>
          <w:p w14:paraId="780CC9F2">
            <w:pPr>
              <w:pageBreakBefore w:val="0"/>
              <w:spacing w:line="420" w:lineRule="exact"/>
              <w:rPr>
                <w:rFonts w:ascii="宋体" w:hAnsi="宋体" w:cs="宋体"/>
                <w:sz w:val="24"/>
              </w:rPr>
            </w:pPr>
            <w:r>
              <w:rPr>
                <w:rFonts w:hint="eastAsia" w:ascii="宋体" w:hAnsi="宋体" w:cs="宋体"/>
                <w:sz w:val="24"/>
              </w:rPr>
              <w:t>5、逾期退还的违约责任：采购人逾期无故未退还履约保证金的，按中国人民银行同期贷款基准利率上浮20%后的利率支付超期资金占用费，但因供应商自身原因导致无法及时退还的除外。</w:t>
            </w:r>
          </w:p>
        </w:tc>
      </w:tr>
      <w:tr w14:paraId="6A505D64">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784" w:hRule="atLeast"/>
        </w:trPr>
        <w:tc>
          <w:tcPr>
            <w:tcW w:w="1560" w:type="dxa"/>
            <w:noWrap w:val="0"/>
            <w:vAlign w:val="center"/>
          </w:tcPr>
          <w:p w14:paraId="000E38AC">
            <w:pPr>
              <w:pageBreakBefore w:val="0"/>
              <w:spacing w:line="420" w:lineRule="exact"/>
              <w:jc w:val="center"/>
              <w:rPr>
                <w:rFonts w:ascii="宋体" w:hAnsi="宋体"/>
                <w:sz w:val="24"/>
              </w:rPr>
            </w:pPr>
            <w:r>
              <w:rPr>
                <w:rFonts w:hint="eastAsia" w:ascii="宋体" w:hAnsi="宋体"/>
                <w:sz w:val="24"/>
              </w:rPr>
              <w:t>第二节</w:t>
            </w:r>
          </w:p>
          <w:p w14:paraId="51017EF7">
            <w:pPr>
              <w:pageBreakBefore w:val="0"/>
              <w:spacing w:line="420" w:lineRule="exact"/>
              <w:jc w:val="center"/>
              <w:rPr>
                <w:rFonts w:ascii="宋体" w:hAnsi="宋体"/>
                <w:sz w:val="24"/>
              </w:rPr>
            </w:pPr>
            <w:r>
              <w:rPr>
                <w:rFonts w:hint="eastAsia" w:ascii="宋体" w:hAnsi="宋体"/>
                <w:sz w:val="24"/>
              </w:rPr>
              <w:t>第14.1（3）项</w:t>
            </w:r>
          </w:p>
        </w:tc>
        <w:tc>
          <w:tcPr>
            <w:tcW w:w="1789" w:type="dxa"/>
            <w:noWrap w:val="0"/>
            <w:vAlign w:val="center"/>
          </w:tcPr>
          <w:p w14:paraId="0355D9CC">
            <w:pPr>
              <w:pageBreakBefore w:val="0"/>
              <w:spacing w:line="420" w:lineRule="exact"/>
              <w:jc w:val="left"/>
              <w:rPr>
                <w:rFonts w:ascii="宋体" w:hAnsi="宋体"/>
                <w:sz w:val="24"/>
              </w:rPr>
            </w:pPr>
            <w:r>
              <w:rPr>
                <w:rFonts w:hint="eastAsia" w:ascii="宋体" w:hAnsi="宋体"/>
                <w:sz w:val="24"/>
              </w:rPr>
              <w:t>运行监督、维修期限</w:t>
            </w:r>
          </w:p>
        </w:tc>
        <w:tc>
          <w:tcPr>
            <w:tcW w:w="5170" w:type="dxa"/>
            <w:noWrap w:val="0"/>
            <w:vAlign w:val="center"/>
          </w:tcPr>
          <w:p w14:paraId="0767CEE7">
            <w:pPr>
              <w:pageBreakBefore w:val="0"/>
              <w:spacing w:line="420" w:lineRule="exact"/>
              <w:jc w:val="left"/>
              <w:rPr>
                <w:rFonts w:ascii="宋体" w:hAnsi="宋体"/>
                <w:sz w:val="24"/>
              </w:rPr>
            </w:pPr>
          </w:p>
        </w:tc>
      </w:tr>
      <w:tr w14:paraId="59DD025B">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784" w:hRule="atLeast"/>
        </w:trPr>
        <w:tc>
          <w:tcPr>
            <w:tcW w:w="1560" w:type="dxa"/>
            <w:noWrap w:val="0"/>
            <w:vAlign w:val="center"/>
          </w:tcPr>
          <w:p w14:paraId="1E7A9C94">
            <w:pPr>
              <w:pageBreakBefore w:val="0"/>
              <w:spacing w:line="420" w:lineRule="exact"/>
              <w:jc w:val="center"/>
              <w:rPr>
                <w:rFonts w:ascii="宋体" w:hAnsi="宋体"/>
                <w:sz w:val="24"/>
              </w:rPr>
            </w:pPr>
            <w:r>
              <w:rPr>
                <w:rFonts w:hint="eastAsia" w:ascii="宋体" w:hAnsi="宋体"/>
                <w:sz w:val="24"/>
              </w:rPr>
              <w:t>第二节</w:t>
            </w:r>
          </w:p>
          <w:p w14:paraId="7B9E808A">
            <w:pPr>
              <w:pageBreakBefore w:val="0"/>
              <w:spacing w:line="420" w:lineRule="exact"/>
              <w:jc w:val="center"/>
              <w:rPr>
                <w:rFonts w:ascii="宋体" w:hAnsi="宋体"/>
                <w:sz w:val="24"/>
              </w:rPr>
            </w:pPr>
            <w:r>
              <w:rPr>
                <w:rFonts w:hint="eastAsia" w:ascii="宋体" w:hAnsi="宋体"/>
                <w:sz w:val="24"/>
              </w:rPr>
              <w:t>第14.1（5）项</w:t>
            </w:r>
          </w:p>
        </w:tc>
        <w:tc>
          <w:tcPr>
            <w:tcW w:w="1789" w:type="dxa"/>
            <w:noWrap w:val="0"/>
            <w:vAlign w:val="center"/>
          </w:tcPr>
          <w:p w14:paraId="6EE0FFB5">
            <w:pPr>
              <w:pageBreakBefore w:val="0"/>
              <w:spacing w:line="420" w:lineRule="exact"/>
              <w:jc w:val="left"/>
              <w:rPr>
                <w:rFonts w:ascii="宋体" w:hAnsi="宋体"/>
                <w:sz w:val="24"/>
              </w:rPr>
            </w:pPr>
            <w:r>
              <w:rPr>
                <w:rFonts w:hint="eastAsia" w:ascii="宋体" w:hAnsi="宋体"/>
                <w:sz w:val="24"/>
              </w:rPr>
              <w:t>货物回收的约定</w:t>
            </w:r>
          </w:p>
        </w:tc>
        <w:tc>
          <w:tcPr>
            <w:tcW w:w="5170" w:type="dxa"/>
            <w:noWrap w:val="0"/>
            <w:vAlign w:val="center"/>
          </w:tcPr>
          <w:p w14:paraId="2CC1B12B">
            <w:pPr>
              <w:pageBreakBefore w:val="0"/>
              <w:spacing w:line="420" w:lineRule="exact"/>
              <w:jc w:val="left"/>
              <w:rPr>
                <w:rFonts w:ascii="宋体" w:hAnsi="宋体"/>
                <w:sz w:val="24"/>
              </w:rPr>
            </w:pPr>
          </w:p>
        </w:tc>
      </w:tr>
      <w:tr w14:paraId="76D591DE">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736" w:hRule="atLeast"/>
        </w:trPr>
        <w:tc>
          <w:tcPr>
            <w:tcW w:w="1560" w:type="dxa"/>
            <w:noWrap w:val="0"/>
            <w:vAlign w:val="center"/>
          </w:tcPr>
          <w:p w14:paraId="3801593E">
            <w:pPr>
              <w:pageBreakBefore w:val="0"/>
              <w:spacing w:line="420" w:lineRule="exact"/>
              <w:jc w:val="center"/>
              <w:rPr>
                <w:rFonts w:ascii="宋体" w:hAnsi="宋体"/>
                <w:sz w:val="24"/>
              </w:rPr>
            </w:pPr>
            <w:r>
              <w:rPr>
                <w:rFonts w:hint="eastAsia" w:ascii="宋体" w:hAnsi="宋体"/>
                <w:sz w:val="24"/>
              </w:rPr>
              <w:t>第二节</w:t>
            </w:r>
          </w:p>
          <w:p w14:paraId="3ED898C5">
            <w:pPr>
              <w:pageBreakBefore w:val="0"/>
              <w:spacing w:line="420" w:lineRule="exact"/>
              <w:jc w:val="center"/>
              <w:rPr>
                <w:rFonts w:ascii="宋体" w:hAnsi="宋体"/>
                <w:sz w:val="24"/>
              </w:rPr>
            </w:pPr>
            <w:r>
              <w:rPr>
                <w:rFonts w:hint="eastAsia" w:ascii="宋体" w:hAnsi="宋体"/>
                <w:sz w:val="24"/>
              </w:rPr>
              <w:t>第14.1（6）项</w:t>
            </w:r>
          </w:p>
        </w:tc>
        <w:tc>
          <w:tcPr>
            <w:tcW w:w="1789" w:type="dxa"/>
            <w:noWrap w:val="0"/>
            <w:vAlign w:val="center"/>
          </w:tcPr>
          <w:p w14:paraId="6D107E6A">
            <w:pPr>
              <w:pageBreakBefore w:val="0"/>
              <w:spacing w:line="420" w:lineRule="exact"/>
              <w:jc w:val="left"/>
              <w:rPr>
                <w:rFonts w:ascii="宋体" w:hAnsi="宋体"/>
                <w:sz w:val="24"/>
              </w:rPr>
            </w:pPr>
            <w:r>
              <w:rPr>
                <w:rFonts w:hint="eastAsia" w:ascii="宋体" w:hAnsi="宋体"/>
                <w:sz w:val="24"/>
              </w:rPr>
              <w:t>乙方提供的其他服务</w:t>
            </w:r>
          </w:p>
        </w:tc>
        <w:tc>
          <w:tcPr>
            <w:tcW w:w="5170" w:type="dxa"/>
            <w:noWrap w:val="0"/>
            <w:vAlign w:val="center"/>
          </w:tcPr>
          <w:p w14:paraId="0839CC34">
            <w:pPr>
              <w:pStyle w:val="29"/>
              <w:pageBreakBefore w:val="0"/>
              <w:spacing w:beforeAutospacing="0" w:afterAutospacing="0" w:line="420" w:lineRule="exact"/>
              <w:ind w:firstLine="480"/>
              <w:jc w:val="both"/>
              <w:rPr>
                <w:rFonts w:hint="eastAsia" w:ascii="宋体" w:hAnsi="宋体" w:eastAsia="宋体"/>
                <w:sz w:val="24"/>
                <w:lang w:eastAsia="zh-CN"/>
              </w:rPr>
            </w:pPr>
            <w:r>
              <w:rPr>
                <w:rFonts w:hint="eastAsia" w:ascii="宋体" w:hAnsi="宋体"/>
                <w:sz w:val="24"/>
              </w:rPr>
              <w:t>超过保修期的货物，终生维修，维修时只收部件成本费</w:t>
            </w:r>
            <w:r>
              <w:rPr>
                <w:rFonts w:hint="eastAsia"/>
                <w:sz w:val="24"/>
                <w:lang w:eastAsia="zh-CN"/>
              </w:rPr>
              <w:t>。</w:t>
            </w:r>
          </w:p>
        </w:tc>
      </w:tr>
      <w:tr w14:paraId="153318EA">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736" w:hRule="atLeast"/>
        </w:trPr>
        <w:tc>
          <w:tcPr>
            <w:tcW w:w="1560" w:type="dxa"/>
            <w:noWrap w:val="0"/>
            <w:vAlign w:val="center"/>
          </w:tcPr>
          <w:p w14:paraId="2D6864C3">
            <w:pPr>
              <w:pageBreakBefore w:val="0"/>
              <w:spacing w:line="420" w:lineRule="exact"/>
              <w:jc w:val="center"/>
              <w:rPr>
                <w:rFonts w:ascii="宋体" w:hAnsi="宋体"/>
                <w:sz w:val="24"/>
              </w:rPr>
            </w:pPr>
            <w:r>
              <w:rPr>
                <w:rFonts w:hint="eastAsia" w:ascii="宋体" w:hAnsi="宋体"/>
                <w:sz w:val="24"/>
              </w:rPr>
              <w:t>第二节</w:t>
            </w:r>
          </w:p>
          <w:p w14:paraId="6BEED0F9">
            <w:pPr>
              <w:pageBreakBefore w:val="0"/>
              <w:spacing w:line="420" w:lineRule="exact"/>
              <w:jc w:val="center"/>
              <w:rPr>
                <w:rFonts w:ascii="宋体" w:hAnsi="宋体"/>
                <w:sz w:val="24"/>
              </w:rPr>
            </w:pPr>
            <w:r>
              <w:rPr>
                <w:rFonts w:hint="eastAsia" w:ascii="宋体" w:hAnsi="宋体"/>
                <w:sz w:val="24"/>
              </w:rPr>
              <w:t>第15.1款</w:t>
            </w:r>
          </w:p>
        </w:tc>
        <w:tc>
          <w:tcPr>
            <w:tcW w:w="1789" w:type="dxa"/>
            <w:noWrap w:val="0"/>
            <w:vAlign w:val="center"/>
          </w:tcPr>
          <w:p w14:paraId="3D9EDF71">
            <w:pPr>
              <w:pageBreakBefore w:val="0"/>
              <w:spacing w:line="420" w:lineRule="exact"/>
              <w:jc w:val="left"/>
              <w:rPr>
                <w:rFonts w:ascii="宋体" w:hAnsi="宋体"/>
                <w:sz w:val="24"/>
              </w:rPr>
            </w:pPr>
            <w:r>
              <w:rPr>
                <w:rFonts w:hint="eastAsia" w:ascii="宋体" w:hAnsi="宋体"/>
                <w:sz w:val="24"/>
              </w:rPr>
              <w:t>修理、重作、更换相关具体规定</w:t>
            </w:r>
          </w:p>
        </w:tc>
        <w:tc>
          <w:tcPr>
            <w:tcW w:w="5170" w:type="dxa"/>
            <w:noWrap w:val="0"/>
            <w:vAlign w:val="center"/>
          </w:tcPr>
          <w:p w14:paraId="39B7C00A">
            <w:pPr>
              <w:pageBreakBefore w:val="0"/>
              <w:numPr>
                <w:ilvl w:val="0"/>
                <w:numId w:val="8"/>
              </w:numPr>
              <w:spacing w:line="420" w:lineRule="exact"/>
              <w:jc w:val="left"/>
              <w:rPr>
                <w:rFonts w:ascii="宋体" w:hAnsi="宋体"/>
                <w:sz w:val="24"/>
              </w:rPr>
            </w:pPr>
            <w:r>
              <w:rPr>
                <w:rFonts w:hint="eastAsia" w:ascii="宋体" w:hAnsi="宋体"/>
                <w:sz w:val="24"/>
              </w:rPr>
              <w:t>详见合同通用条款8.2条款、合同专用条款第二节第8款补充条款及合同专用条款中索赔条款。</w:t>
            </w:r>
          </w:p>
          <w:p w14:paraId="6AEFC601">
            <w:pPr>
              <w:pageBreakBefore w:val="0"/>
              <w:numPr>
                <w:ilvl w:val="0"/>
                <w:numId w:val="8"/>
              </w:numPr>
              <w:spacing w:line="420" w:lineRule="exact"/>
              <w:jc w:val="left"/>
              <w:rPr>
                <w:rFonts w:ascii="宋体" w:hAnsi="宋体"/>
                <w:sz w:val="24"/>
              </w:rPr>
            </w:pPr>
            <w:r>
              <w:rPr>
                <w:rFonts w:hint="eastAsia" w:ascii="宋体" w:hAnsi="宋体"/>
                <w:sz w:val="24"/>
              </w:rPr>
              <w:t>乙方所交的货物品种、型号、规格、技术参数、质量不符合合同规定及询价文件规定标准的，甲方有权拒收该货物，乙方愿意更换货物但逾期交货的，按乙方逾期交货处理。乙方拒绝更换货物的，甲方可单方面解除合同。</w:t>
            </w:r>
          </w:p>
        </w:tc>
      </w:tr>
      <w:tr w14:paraId="37A81A3A">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736" w:hRule="atLeast"/>
        </w:trPr>
        <w:tc>
          <w:tcPr>
            <w:tcW w:w="1560" w:type="dxa"/>
            <w:noWrap w:val="0"/>
            <w:vAlign w:val="center"/>
          </w:tcPr>
          <w:p w14:paraId="6BA26A71">
            <w:pPr>
              <w:pageBreakBefore w:val="0"/>
              <w:spacing w:line="420" w:lineRule="exact"/>
              <w:jc w:val="center"/>
              <w:rPr>
                <w:rFonts w:ascii="宋体" w:hAnsi="宋体"/>
                <w:sz w:val="24"/>
              </w:rPr>
            </w:pPr>
            <w:r>
              <w:rPr>
                <w:rFonts w:hint="eastAsia" w:ascii="宋体" w:hAnsi="宋体"/>
                <w:sz w:val="24"/>
              </w:rPr>
              <w:t>第二节</w:t>
            </w:r>
          </w:p>
          <w:p w14:paraId="5B6F2B27">
            <w:pPr>
              <w:pageBreakBefore w:val="0"/>
              <w:spacing w:line="420" w:lineRule="exact"/>
              <w:jc w:val="center"/>
              <w:rPr>
                <w:rFonts w:ascii="宋体" w:hAnsi="宋体"/>
                <w:sz w:val="24"/>
              </w:rPr>
            </w:pPr>
            <w:r>
              <w:rPr>
                <w:rFonts w:hint="eastAsia" w:ascii="宋体" w:hAnsi="宋体"/>
                <w:sz w:val="24"/>
              </w:rPr>
              <w:t>第15.2（2）项</w:t>
            </w:r>
          </w:p>
        </w:tc>
        <w:tc>
          <w:tcPr>
            <w:tcW w:w="1789" w:type="dxa"/>
            <w:noWrap w:val="0"/>
            <w:vAlign w:val="center"/>
          </w:tcPr>
          <w:p w14:paraId="0ABCD83E">
            <w:pPr>
              <w:pageBreakBefore w:val="0"/>
              <w:spacing w:line="420" w:lineRule="exact"/>
              <w:jc w:val="left"/>
              <w:rPr>
                <w:rFonts w:ascii="宋体" w:hAnsi="宋体"/>
                <w:sz w:val="24"/>
              </w:rPr>
            </w:pPr>
            <w:r>
              <w:rPr>
                <w:rFonts w:hint="eastAsia" w:ascii="宋体" w:hAnsi="宋体"/>
                <w:sz w:val="24"/>
              </w:rPr>
              <w:t>迟延交货赔偿费</w:t>
            </w:r>
          </w:p>
        </w:tc>
        <w:tc>
          <w:tcPr>
            <w:tcW w:w="5170" w:type="dxa"/>
            <w:noWrap w:val="0"/>
            <w:vAlign w:val="center"/>
          </w:tcPr>
          <w:p w14:paraId="42735520">
            <w:pPr>
              <w:pageBreakBefore w:val="0"/>
              <w:spacing w:line="420" w:lineRule="exact"/>
              <w:jc w:val="left"/>
              <w:rPr>
                <w:rFonts w:ascii="宋体" w:hAnsi="宋体"/>
                <w:sz w:val="24"/>
              </w:rPr>
            </w:pPr>
            <w:r>
              <w:rPr>
                <w:rFonts w:hint="eastAsia" w:ascii="宋体" w:hAnsi="宋体"/>
                <w:sz w:val="24"/>
              </w:rPr>
              <w:t>1.乙方应按照“</w:t>
            </w:r>
            <w:r>
              <w:rPr>
                <w:rFonts w:hint="eastAsia" w:ascii="宋体" w:hAnsi="宋体"/>
                <w:sz w:val="24"/>
                <w:lang w:val="en-US" w:eastAsia="zh-CN"/>
              </w:rPr>
              <w:t>询价文件</w:t>
            </w:r>
            <w:r>
              <w:rPr>
                <w:rFonts w:hint="eastAsia" w:ascii="宋体" w:hAnsi="宋体"/>
                <w:sz w:val="24"/>
              </w:rPr>
              <w:t>”中规定的交货期交货和提供服务，并交付甲方验收使用。</w:t>
            </w:r>
          </w:p>
          <w:p w14:paraId="02DA3EC4">
            <w:pPr>
              <w:pageBreakBefore w:val="0"/>
              <w:spacing w:line="420" w:lineRule="exact"/>
              <w:jc w:val="left"/>
              <w:rPr>
                <w:rFonts w:ascii="宋体" w:hAnsi="宋体"/>
                <w:sz w:val="24"/>
              </w:rPr>
            </w:pPr>
            <w:r>
              <w:rPr>
                <w:rFonts w:hint="eastAsia" w:ascii="宋体" w:hAnsi="宋体"/>
                <w:sz w:val="24"/>
              </w:rPr>
              <w:t>2.如果乙方无正当理由拖延交货，将受到以下制裁：加收误期赔偿或终止合同。</w:t>
            </w:r>
          </w:p>
          <w:p w14:paraId="1DC71CCA">
            <w:pPr>
              <w:pageBreakBefore w:val="0"/>
              <w:spacing w:line="420" w:lineRule="exact"/>
              <w:jc w:val="left"/>
              <w:rPr>
                <w:rFonts w:ascii="宋体" w:hAnsi="宋体"/>
                <w:sz w:val="24"/>
              </w:rPr>
            </w:pPr>
            <w:r>
              <w:rPr>
                <w:rFonts w:hint="eastAsia" w:ascii="宋体" w:hAnsi="宋体"/>
                <w:sz w:val="24"/>
              </w:rPr>
              <w:t>3. 乙方逾期交付货物的，乙方应按逾期交货总额每日</w:t>
            </w:r>
            <w:r>
              <w:rPr>
                <w:rFonts w:hint="eastAsia" w:ascii="宋体" w:hAnsi="宋体"/>
                <w:sz w:val="24"/>
                <w:u w:val="single"/>
              </w:rPr>
              <w:t xml:space="preserve">     </w:t>
            </w:r>
            <w:r>
              <w:rPr>
                <w:rFonts w:hint="eastAsia" w:ascii="宋体" w:hAnsi="宋体"/>
                <w:sz w:val="24"/>
              </w:rPr>
              <w:t>向甲方支付违约金，由甲方从待付货款中扣除。逾期超过约定日期</w:t>
            </w:r>
            <w:r>
              <w:rPr>
                <w:rFonts w:hint="eastAsia" w:ascii="宋体" w:hAnsi="宋体"/>
                <w:sz w:val="24"/>
                <w:u w:val="single"/>
              </w:rPr>
              <w:t xml:space="preserve">     </w:t>
            </w:r>
            <w:r>
              <w:rPr>
                <w:rFonts w:hint="eastAsia" w:ascii="宋体" w:hAnsi="宋体"/>
                <w:sz w:val="24"/>
              </w:rPr>
              <w:t>个工作日不能交货的，甲方可解除本合同。乙方因逾期交货或因其他违约行为导致甲方解除合同的，乙方应向甲方支付合同总值</w:t>
            </w:r>
            <w:r>
              <w:rPr>
                <w:rFonts w:hint="eastAsia" w:ascii="宋体" w:hAnsi="宋体"/>
                <w:sz w:val="24"/>
                <w:u w:val="single"/>
              </w:rPr>
              <w:t xml:space="preserve">     </w:t>
            </w:r>
            <w:r>
              <w:rPr>
                <w:rFonts w:hint="eastAsia" w:ascii="宋体" w:hAnsi="宋体"/>
                <w:sz w:val="24"/>
              </w:rPr>
              <w:t xml:space="preserve">的违约金，如造成甲方损失超过违约金的，超出部分由乙方继续承担赔偿责任。 </w:t>
            </w:r>
          </w:p>
          <w:p w14:paraId="19C4CD3F">
            <w:pPr>
              <w:pageBreakBefore w:val="0"/>
              <w:spacing w:line="420" w:lineRule="exact"/>
              <w:jc w:val="left"/>
              <w:rPr>
                <w:rFonts w:ascii="宋体" w:hAnsi="宋体"/>
                <w:sz w:val="24"/>
              </w:rPr>
            </w:pPr>
            <w:r>
              <w:rPr>
                <w:rFonts w:hint="eastAsia" w:ascii="宋体" w:hAnsi="宋体"/>
                <w:sz w:val="24"/>
              </w:rPr>
              <w:t>4.如乙方不能交付货物，或者有违法转包他人情形，乙方应向甲方支付合同总价</w:t>
            </w:r>
            <w:r>
              <w:rPr>
                <w:rFonts w:hint="eastAsia" w:ascii="宋体" w:hAnsi="宋体"/>
                <w:sz w:val="24"/>
                <w:u w:val="single"/>
              </w:rPr>
              <w:t xml:space="preserve">     </w:t>
            </w:r>
            <w:r>
              <w:rPr>
                <w:rFonts w:hint="eastAsia" w:ascii="宋体" w:hAnsi="宋体"/>
                <w:sz w:val="24"/>
              </w:rPr>
              <w:t>的滞纳金。</w:t>
            </w:r>
          </w:p>
          <w:p w14:paraId="15E2DD3A">
            <w:pPr>
              <w:pageBreakBefore w:val="0"/>
              <w:spacing w:line="420" w:lineRule="exact"/>
              <w:jc w:val="left"/>
              <w:rPr>
                <w:rFonts w:ascii="宋体" w:hAnsi="宋体"/>
                <w:sz w:val="24"/>
                <w:u w:val="single"/>
              </w:rPr>
            </w:pPr>
          </w:p>
        </w:tc>
      </w:tr>
      <w:tr w14:paraId="6D60B8D4">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736" w:hRule="atLeast"/>
        </w:trPr>
        <w:tc>
          <w:tcPr>
            <w:tcW w:w="1560" w:type="dxa"/>
            <w:noWrap w:val="0"/>
            <w:vAlign w:val="center"/>
          </w:tcPr>
          <w:p w14:paraId="18660813">
            <w:pPr>
              <w:pageBreakBefore w:val="0"/>
              <w:spacing w:line="420" w:lineRule="exact"/>
              <w:jc w:val="center"/>
              <w:rPr>
                <w:rFonts w:ascii="宋体" w:hAnsi="宋体"/>
                <w:sz w:val="24"/>
              </w:rPr>
            </w:pPr>
            <w:r>
              <w:rPr>
                <w:rFonts w:hint="eastAsia" w:ascii="宋体" w:hAnsi="宋体"/>
                <w:sz w:val="24"/>
              </w:rPr>
              <w:t>第二节</w:t>
            </w:r>
          </w:p>
          <w:p w14:paraId="611E947B">
            <w:pPr>
              <w:pageBreakBefore w:val="0"/>
              <w:spacing w:line="420" w:lineRule="exact"/>
              <w:jc w:val="center"/>
              <w:rPr>
                <w:rFonts w:ascii="宋体" w:hAnsi="宋体"/>
                <w:sz w:val="24"/>
              </w:rPr>
            </w:pPr>
            <w:r>
              <w:rPr>
                <w:rFonts w:hint="eastAsia" w:ascii="宋体" w:hAnsi="宋体"/>
                <w:sz w:val="24"/>
              </w:rPr>
              <w:t>第15.3款</w:t>
            </w:r>
          </w:p>
        </w:tc>
        <w:tc>
          <w:tcPr>
            <w:tcW w:w="1789" w:type="dxa"/>
            <w:noWrap w:val="0"/>
            <w:vAlign w:val="center"/>
          </w:tcPr>
          <w:p w14:paraId="1C51A3DC">
            <w:pPr>
              <w:pageBreakBefore w:val="0"/>
              <w:spacing w:line="420" w:lineRule="exact"/>
              <w:jc w:val="left"/>
              <w:rPr>
                <w:rFonts w:ascii="宋体" w:hAnsi="宋体"/>
                <w:sz w:val="24"/>
              </w:rPr>
            </w:pPr>
            <w:r>
              <w:rPr>
                <w:rFonts w:hint="eastAsia" w:ascii="宋体" w:hAnsi="宋体"/>
                <w:sz w:val="24"/>
              </w:rPr>
              <w:t>逾期付款利息</w:t>
            </w:r>
          </w:p>
        </w:tc>
        <w:tc>
          <w:tcPr>
            <w:tcW w:w="5170" w:type="dxa"/>
            <w:noWrap w:val="0"/>
            <w:vAlign w:val="center"/>
          </w:tcPr>
          <w:p w14:paraId="51224170">
            <w:pPr>
              <w:pStyle w:val="29"/>
              <w:pageBreakBefore w:val="0"/>
              <w:spacing w:before="120" w:beforeAutospacing="0" w:after="120" w:afterAutospacing="0" w:line="420" w:lineRule="exact"/>
              <w:ind w:left="410" w:hanging="410"/>
              <w:jc w:val="both"/>
            </w:pPr>
            <w:r>
              <w:rPr>
                <w:rFonts w:hint="eastAsia"/>
              </w:rPr>
              <w:t>1.甲方无正当理由拒收货物的，甲方向乙方偿付拒收货款总值</w:t>
            </w:r>
            <w:r>
              <w:rPr>
                <w:rFonts w:hint="eastAsia"/>
                <w:u w:val="single"/>
              </w:rPr>
              <w:t xml:space="preserve">    </w:t>
            </w:r>
            <w:r>
              <w:rPr>
                <w:rFonts w:hint="eastAsia"/>
              </w:rPr>
              <w:t>的违约金。</w:t>
            </w:r>
          </w:p>
          <w:p w14:paraId="55101CB5">
            <w:pPr>
              <w:pStyle w:val="29"/>
              <w:pageBreakBefore w:val="0"/>
              <w:spacing w:before="120" w:beforeAutospacing="0" w:after="120" w:afterAutospacing="0" w:line="420" w:lineRule="exact"/>
              <w:ind w:left="410" w:hanging="410"/>
              <w:jc w:val="both"/>
              <w:rPr>
                <w:u w:val="single"/>
              </w:rPr>
            </w:pPr>
            <w:r>
              <w:rPr>
                <w:rFonts w:hint="eastAsia"/>
              </w:rPr>
              <w:t>2.甲方无故逾期验收和办理货款支付手续的,甲方应按逾期付款总额每日</w:t>
            </w:r>
            <w:r>
              <w:rPr>
                <w:rFonts w:hint="eastAsia"/>
                <w:u w:val="single"/>
              </w:rPr>
              <w:t xml:space="preserve">    </w:t>
            </w:r>
            <w:r>
              <w:rPr>
                <w:rFonts w:hint="eastAsia"/>
              </w:rPr>
              <w:t>向乙方支付违约金。</w:t>
            </w:r>
          </w:p>
        </w:tc>
      </w:tr>
      <w:tr w14:paraId="58D030BE">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876" w:hRule="atLeast"/>
        </w:trPr>
        <w:tc>
          <w:tcPr>
            <w:tcW w:w="1560" w:type="dxa"/>
            <w:tcBorders>
              <w:bottom w:val="single" w:color="000000" w:sz="2" w:space="0"/>
              <w:right w:val="single" w:color="000000" w:sz="2" w:space="0"/>
            </w:tcBorders>
            <w:noWrap w:val="0"/>
            <w:vAlign w:val="center"/>
          </w:tcPr>
          <w:p w14:paraId="3A989EDE">
            <w:pPr>
              <w:pageBreakBefore w:val="0"/>
              <w:spacing w:line="420" w:lineRule="exact"/>
              <w:jc w:val="center"/>
              <w:rPr>
                <w:rFonts w:ascii="宋体" w:hAnsi="宋体"/>
                <w:sz w:val="24"/>
              </w:rPr>
            </w:pPr>
            <w:r>
              <w:rPr>
                <w:rFonts w:hint="eastAsia" w:ascii="宋体" w:hAnsi="宋体"/>
                <w:sz w:val="24"/>
              </w:rPr>
              <w:t>第二节</w:t>
            </w:r>
          </w:p>
          <w:p w14:paraId="60D08538">
            <w:pPr>
              <w:pageBreakBefore w:val="0"/>
              <w:spacing w:line="420" w:lineRule="exact"/>
              <w:jc w:val="center"/>
              <w:rPr>
                <w:rFonts w:ascii="宋体" w:hAnsi="宋体"/>
                <w:sz w:val="24"/>
              </w:rPr>
            </w:pPr>
            <w:r>
              <w:rPr>
                <w:rFonts w:hint="eastAsia" w:ascii="宋体" w:hAnsi="宋体"/>
                <w:sz w:val="24"/>
              </w:rPr>
              <w:t>第15.4款</w:t>
            </w:r>
          </w:p>
        </w:tc>
        <w:tc>
          <w:tcPr>
            <w:tcW w:w="1789" w:type="dxa"/>
            <w:tcBorders>
              <w:left w:val="single" w:color="000000" w:sz="2" w:space="0"/>
              <w:bottom w:val="single" w:color="000000" w:sz="2" w:space="0"/>
              <w:right w:val="single" w:color="000000" w:sz="2" w:space="0"/>
            </w:tcBorders>
            <w:noWrap w:val="0"/>
            <w:vAlign w:val="center"/>
          </w:tcPr>
          <w:p w14:paraId="1836FE9D">
            <w:pPr>
              <w:pageBreakBefore w:val="0"/>
              <w:spacing w:line="420" w:lineRule="exact"/>
              <w:jc w:val="left"/>
              <w:rPr>
                <w:rFonts w:ascii="宋体" w:hAnsi="宋体"/>
                <w:sz w:val="24"/>
              </w:rPr>
            </w:pPr>
            <w:r>
              <w:rPr>
                <w:rFonts w:hint="eastAsia" w:ascii="宋体" w:hAnsi="宋体"/>
                <w:sz w:val="24"/>
              </w:rPr>
              <w:t>其他违约责任</w:t>
            </w:r>
          </w:p>
        </w:tc>
        <w:tc>
          <w:tcPr>
            <w:tcW w:w="5170" w:type="dxa"/>
            <w:tcBorders>
              <w:left w:val="single" w:color="000000" w:sz="2" w:space="0"/>
              <w:bottom w:val="single" w:color="000000" w:sz="2" w:space="0"/>
            </w:tcBorders>
            <w:noWrap w:val="0"/>
            <w:vAlign w:val="center"/>
          </w:tcPr>
          <w:p w14:paraId="6C5004B5">
            <w:pPr>
              <w:pageBreakBefore w:val="0"/>
              <w:spacing w:line="420" w:lineRule="exact"/>
              <w:jc w:val="left"/>
              <w:rPr>
                <w:rFonts w:ascii="宋体" w:hAnsi="宋体"/>
                <w:sz w:val="24"/>
                <w:u w:val="single"/>
              </w:rPr>
            </w:pPr>
          </w:p>
        </w:tc>
      </w:tr>
      <w:tr w14:paraId="49B528D8">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90" w:hRule="atLeast"/>
        </w:trPr>
        <w:tc>
          <w:tcPr>
            <w:tcW w:w="1560" w:type="dxa"/>
            <w:tcBorders>
              <w:top w:val="single" w:color="000000" w:sz="2" w:space="0"/>
              <w:right w:val="single" w:color="000000" w:sz="2" w:space="0"/>
            </w:tcBorders>
            <w:noWrap w:val="0"/>
            <w:vAlign w:val="center"/>
          </w:tcPr>
          <w:p w14:paraId="5A5518E7">
            <w:pPr>
              <w:pageBreakBefore w:val="0"/>
              <w:spacing w:line="420" w:lineRule="exact"/>
              <w:jc w:val="center"/>
              <w:rPr>
                <w:rFonts w:ascii="宋体" w:hAnsi="宋体"/>
                <w:sz w:val="24"/>
              </w:rPr>
            </w:pPr>
            <w:r>
              <w:rPr>
                <w:rFonts w:hint="eastAsia" w:ascii="宋体" w:hAnsi="宋体"/>
                <w:sz w:val="24"/>
              </w:rPr>
              <w:t>第二节</w:t>
            </w:r>
          </w:p>
          <w:p w14:paraId="5B7655E8">
            <w:pPr>
              <w:pageBreakBefore w:val="0"/>
              <w:spacing w:line="420" w:lineRule="exact"/>
              <w:jc w:val="center"/>
              <w:rPr>
                <w:rFonts w:ascii="宋体" w:hAnsi="宋体"/>
                <w:sz w:val="24"/>
              </w:rPr>
            </w:pPr>
            <w:r>
              <w:rPr>
                <w:rFonts w:hint="eastAsia" w:ascii="宋体" w:hAnsi="宋体"/>
                <w:sz w:val="24"/>
              </w:rPr>
              <w:t>第19.2款</w:t>
            </w:r>
          </w:p>
        </w:tc>
        <w:tc>
          <w:tcPr>
            <w:tcW w:w="1789" w:type="dxa"/>
            <w:tcBorders>
              <w:top w:val="single" w:color="000000" w:sz="2" w:space="0"/>
              <w:left w:val="single" w:color="000000" w:sz="2" w:space="0"/>
              <w:right w:val="single" w:color="000000" w:sz="2" w:space="0"/>
            </w:tcBorders>
            <w:noWrap w:val="0"/>
            <w:vAlign w:val="center"/>
          </w:tcPr>
          <w:p w14:paraId="77037F95">
            <w:pPr>
              <w:pageBreakBefore w:val="0"/>
              <w:spacing w:line="420" w:lineRule="exact"/>
              <w:jc w:val="left"/>
              <w:rPr>
                <w:rFonts w:ascii="宋体" w:hAnsi="宋体"/>
                <w:sz w:val="24"/>
              </w:rPr>
            </w:pPr>
            <w:r>
              <w:rPr>
                <w:rFonts w:hint="eastAsia" w:ascii="宋体" w:hAnsi="宋体"/>
                <w:sz w:val="24"/>
              </w:rPr>
              <w:t>解决争议的方法</w:t>
            </w:r>
          </w:p>
        </w:tc>
        <w:tc>
          <w:tcPr>
            <w:tcW w:w="5170" w:type="dxa"/>
            <w:tcBorders>
              <w:top w:val="single" w:color="000000" w:sz="2" w:space="0"/>
              <w:left w:val="single" w:color="000000" w:sz="2" w:space="0"/>
            </w:tcBorders>
            <w:noWrap w:val="0"/>
            <w:vAlign w:val="center"/>
          </w:tcPr>
          <w:p w14:paraId="42544968">
            <w:pPr>
              <w:pageBreakBefore w:val="0"/>
              <w:spacing w:line="420" w:lineRule="exact"/>
              <w:jc w:val="left"/>
              <w:rPr>
                <w:rFonts w:ascii="宋体" w:hAnsi="宋体"/>
                <w:sz w:val="24"/>
              </w:rPr>
            </w:pPr>
            <w:r>
              <w:rPr>
                <w:rFonts w:hint="eastAsia" w:ascii="宋体" w:hAnsi="宋体"/>
                <w:sz w:val="24"/>
              </w:rPr>
              <w:t>1.因本合同及合同有关事项发生的争议，由双方协商解决，协商不成时，按下列第</w:t>
            </w:r>
            <w:r>
              <w:rPr>
                <w:rFonts w:hint="eastAsia" w:ascii="宋体" w:hAnsi="宋体"/>
                <w:sz w:val="24"/>
                <w:u w:val="single"/>
              </w:rPr>
              <w:t xml:space="preserve">  </w:t>
            </w:r>
            <w:r>
              <w:rPr>
                <w:rFonts w:hint="eastAsia" w:ascii="宋体" w:hAnsi="宋体"/>
                <w:sz w:val="24"/>
                <w:u w:val="single"/>
                <w:lang w:val="en-US" w:eastAsia="zh-CN"/>
              </w:rPr>
              <w:t xml:space="preserve">2 </w:t>
            </w:r>
            <w:r>
              <w:rPr>
                <w:rFonts w:hint="eastAsia" w:ascii="宋体" w:hAnsi="宋体"/>
                <w:sz w:val="24"/>
                <w:u w:val="single"/>
              </w:rPr>
              <w:t xml:space="preserve"> </w:t>
            </w:r>
            <w:r>
              <w:rPr>
                <w:rFonts w:hint="eastAsia" w:ascii="宋体" w:hAnsi="宋体"/>
                <w:sz w:val="24"/>
              </w:rPr>
              <w:t>种方式解决：</w:t>
            </w:r>
          </w:p>
          <w:p w14:paraId="7FF458E6">
            <w:pPr>
              <w:pageBreakBefore w:val="0"/>
              <w:spacing w:line="420" w:lineRule="exact"/>
              <w:jc w:val="left"/>
              <w:rPr>
                <w:rFonts w:ascii="宋体" w:hAnsi="宋体"/>
                <w:sz w:val="24"/>
              </w:rPr>
            </w:pPr>
            <w:r>
              <w:rPr>
                <w:rFonts w:hint="eastAsia" w:ascii="宋体" w:hAnsi="宋体"/>
                <w:sz w:val="24"/>
              </w:rPr>
              <w:t>（1）向仲裁委员会申请仲裁，仲裁地点为</w:t>
            </w:r>
            <w:r>
              <w:rPr>
                <w:rFonts w:hint="eastAsia" w:ascii="宋体" w:hAnsi="宋体"/>
                <w:sz w:val="24"/>
                <w:u w:val="single"/>
              </w:rPr>
              <w:t xml:space="preserve">  </w:t>
            </w:r>
            <w:r>
              <w:rPr>
                <w:rFonts w:hint="eastAsia" w:ascii="宋体" w:hAnsi="宋体"/>
                <w:sz w:val="24"/>
                <w:u w:val="single"/>
                <w:lang w:val="en-US" w:eastAsia="zh-CN"/>
              </w:rPr>
              <w:t>/</w:t>
            </w:r>
            <w:r>
              <w:rPr>
                <w:rFonts w:hint="eastAsia" w:ascii="宋体" w:hAnsi="宋体"/>
                <w:sz w:val="24"/>
                <w:u w:val="single"/>
              </w:rPr>
              <w:t xml:space="preserve">   </w:t>
            </w:r>
            <w:r>
              <w:rPr>
                <w:rFonts w:hint="eastAsia" w:ascii="宋体" w:hAnsi="宋体"/>
                <w:sz w:val="24"/>
              </w:rPr>
              <w:t>；</w:t>
            </w:r>
          </w:p>
          <w:p w14:paraId="4E1299B5">
            <w:pPr>
              <w:pageBreakBefore w:val="0"/>
              <w:spacing w:line="420" w:lineRule="exact"/>
              <w:jc w:val="left"/>
              <w:rPr>
                <w:rFonts w:ascii="宋体" w:hAnsi="宋体"/>
                <w:sz w:val="24"/>
              </w:rPr>
            </w:pPr>
            <w:r>
              <w:rPr>
                <w:rFonts w:hint="eastAsia" w:ascii="宋体" w:hAnsi="宋体"/>
                <w:sz w:val="24"/>
              </w:rPr>
              <w:t>（2）向甲方所在地人民法院起诉。</w:t>
            </w:r>
          </w:p>
          <w:p w14:paraId="4E4AD91E">
            <w:pPr>
              <w:pageBreakBefore w:val="0"/>
              <w:spacing w:line="420" w:lineRule="exact"/>
              <w:jc w:val="left"/>
              <w:rPr>
                <w:rFonts w:ascii="宋体" w:hAnsi="宋体"/>
                <w:sz w:val="24"/>
              </w:rPr>
            </w:pPr>
            <w:r>
              <w:rPr>
                <w:rFonts w:hint="eastAsia" w:ascii="宋体" w:hAnsi="宋体"/>
                <w:sz w:val="24"/>
              </w:rPr>
              <w:t>2. 纠纷解决办法</w:t>
            </w:r>
          </w:p>
          <w:p w14:paraId="0236B662">
            <w:pPr>
              <w:pageBreakBefore w:val="0"/>
              <w:spacing w:line="420" w:lineRule="exact"/>
              <w:jc w:val="left"/>
              <w:rPr>
                <w:rFonts w:ascii="宋体" w:hAnsi="宋体"/>
                <w:sz w:val="24"/>
              </w:rPr>
            </w:pPr>
            <w:r>
              <w:rPr>
                <w:rFonts w:hint="eastAsia" w:ascii="宋体" w:hAnsi="宋体"/>
                <w:sz w:val="24"/>
              </w:rPr>
              <w:t>2.1因货物的质量问题发生争议的，应当邀请国家认可的质量检测机构对货物质量进行鉴定。货物符合标准的，鉴定费由甲方承担；货物不符合质量标准的，鉴定费由乙方承担，并更换问题货物。</w:t>
            </w:r>
          </w:p>
        </w:tc>
      </w:tr>
      <w:tr w14:paraId="289F3EAA">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770" w:hRule="atLeast"/>
        </w:trPr>
        <w:tc>
          <w:tcPr>
            <w:tcW w:w="1560" w:type="dxa"/>
            <w:noWrap w:val="0"/>
            <w:vAlign w:val="center"/>
          </w:tcPr>
          <w:p w14:paraId="33428DD2">
            <w:pPr>
              <w:pageBreakBefore w:val="0"/>
              <w:spacing w:line="420" w:lineRule="exact"/>
              <w:jc w:val="center"/>
              <w:rPr>
                <w:rFonts w:ascii="宋体" w:hAnsi="宋体"/>
                <w:sz w:val="24"/>
              </w:rPr>
            </w:pPr>
            <w:r>
              <w:rPr>
                <w:rFonts w:hint="eastAsia" w:ascii="宋体" w:hAnsi="宋体"/>
                <w:sz w:val="24"/>
              </w:rPr>
              <w:t>第二节</w:t>
            </w:r>
          </w:p>
          <w:p w14:paraId="3DFBEC90">
            <w:pPr>
              <w:pageBreakBefore w:val="0"/>
              <w:spacing w:line="420" w:lineRule="exact"/>
              <w:jc w:val="center"/>
              <w:rPr>
                <w:rFonts w:ascii="宋体" w:hAnsi="宋体"/>
                <w:sz w:val="24"/>
              </w:rPr>
            </w:pPr>
            <w:r>
              <w:rPr>
                <w:rFonts w:hint="eastAsia" w:ascii="宋体" w:hAnsi="宋体"/>
                <w:sz w:val="24"/>
              </w:rPr>
              <w:t>第23.1款</w:t>
            </w:r>
          </w:p>
        </w:tc>
        <w:tc>
          <w:tcPr>
            <w:tcW w:w="1789" w:type="dxa"/>
            <w:noWrap w:val="0"/>
            <w:vAlign w:val="center"/>
          </w:tcPr>
          <w:p w14:paraId="2697CF30">
            <w:pPr>
              <w:pageBreakBefore w:val="0"/>
              <w:spacing w:line="420" w:lineRule="exact"/>
              <w:jc w:val="left"/>
              <w:rPr>
                <w:rFonts w:ascii="宋体" w:hAnsi="宋体"/>
                <w:sz w:val="24"/>
              </w:rPr>
            </w:pPr>
            <w:r>
              <w:rPr>
                <w:rFonts w:hint="eastAsia" w:ascii="宋体" w:hAnsi="宋体"/>
                <w:bCs/>
                <w:sz w:val="24"/>
              </w:rPr>
              <w:t>其他专用条款</w:t>
            </w:r>
          </w:p>
        </w:tc>
        <w:tc>
          <w:tcPr>
            <w:tcW w:w="5170" w:type="dxa"/>
            <w:noWrap w:val="0"/>
            <w:vAlign w:val="center"/>
          </w:tcPr>
          <w:p w14:paraId="3F30FD5C">
            <w:pPr>
              <w:pageBreakBefore w:val="0"/>
              <w:spacing w:line="420" w:lineRule="exact"/>
              <w:jc w:val="left"/>
              <w:rPr>
                <w:rFonts w:ascii="宋体" w:hAnsi="宋体"/>
                <w:sz w:val="24"/>
              </w:rPr>
            </w:pPr>
            <w:r>
              <w:rPr>
                <w:rFonts w:hint="eastAsia" w:ascii="宋体" w:hAnsi="宋体"/>
                <w:sz w:val="24"/>
              </w:rPr>
              <w:t>1.在发货前，乙方应对货物的质量、规格、性能、数量和重量等进行准确而全面的检验，并出具一份证明货物符合合同规定的证书。该证书将作为提交付款单据的一部分，但有关质量、规格、性能、数量或重量的检验不应视为最终检验。乙方检验的结果和细节应附在检验证书后面。</w:t>
            </w:r>
          </w:p>
          <w:p w14:paraId="47063F9F">
            <w:pPr>
              <w:pageBreakBefore w:val="0"/>
              <w:spacing w:line="420" w:lineRule="exact"/>
              <w:jc w:val="left"/>
              <w:rPr>
                <w:rFonts w:ascii="宋体" w:hAnsi="宋体"/>
                <w:sz w:val="24"/>
              </w:rPr>
            </w:pPr>
            <w:r>
              <w:rPr>
                <w:rFonts w:hint="eastAsia" w:ascii="宋体" w:hAnsi="宋体"/>
                <w:sz w:val="24"/>
              </w:rPr>
              <w:t>2.甲方将在乙方交货现场组织验收，如果货物的质量和规格与合同规定相符，甲方应及时填写验收单。如果货物的质量和规格与合同规定不符，或在质量保证期内发现货物是有缺陷的，包括潜在缺陷或使用不符合要求的材料，甲方应报请当地质检部门进行检查，并有权凭其出具的检验报告向乙方提出索赔。</w:t>
            </w:r>
          </w:p>
          <w:p w14:paraId="03A593B8">
            <w:pPr>
              <w:pageBreakBefore w:val="0"/>
              <w:spacing w:line="420" w:lineRule="exact"/>
              <w:jc w:val="left"/>
              <w:rPr>
                <w:rFonts w:ascii="宋体" w:hAnsi="宋体"/>
                <w:sz w:val="24"/>
              </w:rPr>
            </w:pPr>
            <w:r>
              <w:rPr>
                <w:rFonts w:hint="eastAsia" w:ascii="宋体" w:hAnsi="宋体"/>
                <w:sz w:val="24"/>
              </w:rPr>
              <w:t>3.验收不合格的货物，乙方应在</w:t>
            </w:r>
            <w:r>
              <w:rPr>
                <w:rFonts w:hint="eastAsia" w:ascii="宋体" w:hAnsi="宋体"/>
                <w:sz w:val="24"/>
                <w:u w:val="single"/>
              </w:rPr>
              <w:t xml:space="preserve">     </w:t>
            </w:r>
            <w:r>
              <w:rPr>
                <w:rFonts w:hint="eastAsia" w:ascii="宋体" w:hAnsi="宋体"/>
                <w:sz w:val="24"/>
              </w:rPr>
              <w:t>个工作日内予以更换，逾期按交货延误予以处罚。乙方所交付的货物品种、型号、规格不符合合同规定的，甲方有权拒收。甲方拒收的，乙方向甲方支付货款总额</w:t>
            </w:r>
            <w:r>
              <w:rPr>
                <w:rFonts w:hint="eastAsia" w:ascii="宋体" w:hAnsi="宋体"/>
                <w:sz w:val="24"/>
                <w:u w:val="single"/>
              </w:rPr>
              <w:t xml:space="preserve">     </w:t>
            </w:r>
            <w:r>
              <w:rPr>
                <w:rFonts w:hint="eastAsia" w:ascii="宋体" w:hAnsi="宋体"/>
                <w:sz w:val="24"/>
              </w:rPr>
              <w:t>%的违约金。在乙方承诺的或国家规定的质量保证期内，若经乙方维修或更换，货物仍不能达到合同约定的质量标准，甲方有权退货，乙方应退回全部货款，同时，乙方还须赔偿甲方因此遭受的损失。</w:t>
            </w:r>
          </w:p>
          <w:p w14:paraId="63B66AA2">
            <w:pPr>
              <w:pageBreakBefore w:val="0"/>
              <w:spacing w:line="420" w:lineRule="exact"/>
              <w:jc w:val="left"/>
              <w:rPr>
                <w:rFonts w:ascii="宋体" w:hAnsi="宋体"/>
                <w:sz w:val="24"/>
              </w:rPr>
            </w:pPr>
            <w:r>
              <w:rPr>
                <w:rFonts w:hint="eastAsia" w:ascii="宋体" w:hAnsi="宋体"/>
                <w:sz w:val="24"/>
              </w:rPr>
              <w:t>4.货物验收要求</w:t>
            </w:r>
          </w:p>
          <w:p w14:paraId="3D4D4840">
            <w:pPr>
              <w:pageBreakBefore w:val="0"/>
              <w:spacing w:line="420" w:lineRule="exact"/>
              <w:jc w:val="left"/>
              <w:rPr>
                <w:rFonts w:ascii="宋体" w:hAnsi="宋体"/>
                <w:sz w:val="24"/>
              </w:rPr>
            </w:pPr>
            <w:r>
              <w:rPr>
                <w:rFonts w:hint="eastAsia" w:ascii="宋体" w:hAnsi="宋体"/>
                <w:sz w:val="24"/>
              </w:rPr>
              <w:t>（1）依照询价文件要求对全部货物、型号、规格、数量、外型、外观、包装及资料、文件（如装箱单、保修单、随箱介质等）进行验收。</w:t>
            </w:r>
          </w:p>
          <w:p w14:paraId="70556B2A">
            <w:pPr>
              <w:pageBreakBefore w:val="0"/>
              <w:spacing w:line="420" w:lineRule="exact"/>
              <w:jc w:val="left"/>
              <w:rPr>
                <w:rFonts w:ascii="宋体" w:hAnsi="宋体"/>
                <w:sz w:val="24"/>
              </w:rPr>
            </w:pPr>
            <w:r>
              <w:rPr>
                <w:rFonts w:hint="eastAsia" w:ascii="宋体" w:hAnsi="宋体"/>
                <w:sz w:val="24"/>
              </w:rPr>
              <w:t>（2）甲方与乙方对货物到货后共同进行开箱检查，出现损坏、数量不全或产品不对等问题时，由乙方负责解决。</w:t>
            </w:r>
          </w:p>
          <w:p w14:paraId="4BF05B0D">
            <w:pPr>
              <w:pageBreakBefore w:val="0"/>
              <w:spacing w:line="420" w:lineRule="exact"/>
              <w:jc w:val="left"/>
              <w:rPr>
                <w:rFonts w:ascii="宋体" w:hAnsi="宋体"/>
                <w:sz w:val="24"/>
              </w:rPr>
            </w:pPr>
            <w:r>
              <w:rPr>
                <w:rFonts w:hint="eastAsia" w:ascii="宋体" w:hAnsi="宋体"/>
                <w:sz w:val="24"/>
              </w:rPr>
              <w:t>（3）甲方有权从乙方所送货物中任意抽出不同型号的产品送采购人所在地的质检部门检验，如果检验合格，检验费由甲方负担；如果检验不合格，则检验费由乙方负担。</w:t>
            </w:r>
          </w:p>
          <w:p w14:paraId="255055A4">
            <w:pPr>
              <w:pageBreakBefore w:val="0"/>
              <w:spacing w:line="420" w:lineRule="exact"/>
              <w:jc w:val="left"/>
              <w:rPr>
                <w:rFonts w:ascii="宋体" w:hAnsi="宋体"/>
                <w:sz w:val="24"/>
              </w:rPr>
            </w:pPr>
            <w:r>
              <w:rPr>
                <w:rFonts w:hint="eastAsia" w:ascii="宋体" w:hAnsi="宋体"/>
                <w:sz w:val="24"/>
              </w:rPr>
              <w:t>（4）乙方应按照本合同规定的时间、地点和方式向乙方交付货物。</w:t>
            </w:r>
          </w:p>
          <w:p w14:paraId="0383C30A">
            <w:pPr>
              <w:pageBreakBefore w:val="0"/>
              <w:spacing w:line="420" w:lineRule="exact"/>
              <w:jc w:val="left"/>
              <w:rPr>
                <w:rFonts w:ascii="宋体" w:hAnsi="宋体"/>
                <w:sz w:val="24"/>
              </w:rPr>
            </w:pPr>
            <w:r>
              <w:rPr>
                <w:rFonts w:hint="eastAsia" w:ascii="宋体" w:hAnsi="宋体"/>
                <w:sz w:val="24"/>
              </w:rPr>
              <w:t>交货时间：</w:t>
            </w:r>
            <w:r>
              <w:rPr>
                <w:rFonts w:hint="eastAsia" w:ascii="宋体" w:hAnsi="宋体"/>
                <w:sz w:val="24"/>
                <w:u w:val="single"/>
              </w:rPr>
              <w:t xml:space="preserve">          </w:t>
            </w:r>
            <w:r>
              <w:rPr>
                <w:rFonts w:hint="eastAsia" w:ascii="宋体" w:hAnsi="宋体"/>
                <w:sz w:val="24"/>
              </w:rPr>
              <w:t>日前完成供货（安装）并交付使用。</w:t>
            </w:r>
          </w:p>
          <w:p w14:paraId="617BFD83">
            <w:pPr>
              <w:pageBreakBefore w:val="0"/>
              <w:spacing w:line="420" w:lineRule="exact"/>
              <w:jc w:val="left"/>
              <w:rPr>
                <w:rFonts w:ascii="宋体" w:hAnsi="宋体"/>
                <w:sz w:val="24"/>
              </w:rPr>
            </w:pPr>
            <w:r>
              <w:rPr>
                <w:rFonts w:hint="eastAsia" w:ascii="宋体" w:hAnsi="宋体"/>
                <w:sz w:val="24"/>
              </w:rPr>
              <w:t>交货地点：</w:t>
            </w:r>
            <w:r>
              <w:rPr>
                <w:rFonts w:hint="eastAsia" w:ascii="宋体" w:hAnsi="宋体"/>
                <w:sz w:val="24"/>
                <w:u w:val="single"/>
              </w:rPr>
              <w:t xml:space="preserve">                    </w:t>
            </w:r>
            <w:r>
              <w:rPr>
                <w:rFonts w:hint="eastAsia" w:ascii="宋体" w:hAnsi="宋体"/>
                <w:sz w:val="24"/>
              </w:rPr>
              <w:t>。</w:t>
            </w:r>
          </w:p>
          <w:p w14:paraId="761E33DB">
            <w:pPr>
              <w:pageBreakBefore w:val="0"/>
              <w:spacing w:line="420" w:lineRule="exact"/>
              <w:jc w:val="left"/>
              <w:rPr>
                <w:rFonts w:ascii="宋体" w:hAnsi="宋体"/>
                <w:sz w:val="24"/>
              </w:rPr>
            </w:pPr>
            <w:r>
              <w:rPr>
                <w:rFonts w:hint="eastAsia" w:ascii="宋体" w:hAnsi="宋体"/>
                <w:sz w:val="24"/>
              </w:rPr>
              <w:t>（5）甲方应在全部货物到货安装完毕后的</w:t>
            </w:r>
            <w:r>
              <w:rPr>
                <w:rFonts w:hint="eastAsia" w:ascii="宋体" w:hAnsi="宋体"/>
                <w:sz w:val="24"/>
                <w:u w:val="single"/>
              </w:rPr>
              <w:t xml:space="preserve">     </w:t>
            </w:r>
            <w:r>
              <w:rPr>
                <w:rFonts w:hint="eastAsia" w:ascii="宋体" w:hAnsi="宋体"/>
                <w:sz w:val="24"/>
              </w:rPr>
              <w:t>日内进行验收，验收包括：型号、规格、数量、外观是否完好，安装调试是否合格等。验收合格后甲方应在验收报告上签字盖章，初步验收合格且项目运行满</w:t>
            </w:r>
            <w:r>
              <w:rPr>
                <w:rFonts w:hint="eastAsia" w:ascii="宋体" w:hAnsi="宋体"/>
                <w:sz w:val="24"/>
                <w:u w:val="single"/>
              </w:rPr>
              <w:t xml:space="preserve">     </w:t>
            </w:r>
            <w:r>
              <w:rPr>
                <w:rFonts w:hint="eastAsia" w:ascii="宋体" w:hAnsi="宋体"/>
                <w:sz w:val="24"/>
              </w:rPr>
              <w:t>个月后，甲方组织对货物的质量及使用状况等进行最终验收。</w:t>
            </w:r>
          </w:p>
          <w:p w14:paraId="1F3A3213">
            <w:pPr>
              <w:pageBreakBefore w:val="0"/>
              <w:spacing w:line="420" w:lineRule="exact"/>
              <w:jc w:val="left"/>
              <w:rPr>
                <w:rFonts w:ascii="宋体" w:hAnsi="宋体"/>
                <w:sz w:val="24"/>
              </w:rPr>
            </w:pPr>
            <w:r>
              <w:rPr>
                <w:rFonts w:hint="eastAsia" w:ascii="宋体" w:hAnsi="宋体"/>
                <w:sz w:val="24"/>
              </w:rPr>
              <w:t>（6）货到现场后，甲方人员根据招标要求，对包装物进行视检和抽检，如包装物不符合招标要求，甲方有权将包装物送至市级及以上检测机构送检。因检测不合格延误了交付进度，乙方应承担相应的违约责任。</w:t>
            </w:r>
          </w:p>
          <w:p w14:paraId="2E926C5F">
            <w:pPr>
              <w:pageBreakBefore w:val="0"/>
              <w:spacing w:line="420" w:lineRule="exact"/>
              <w:jc w:val="left"/>
              <w:rPr>
                <w:rFonts w:ascii="宋体" w:hAnsi="宋体"/>
                <w:sz w:val="24"/>
              </w:rPr>
            </w:pPr>
          </w:p>
        </w:tc>
      </w:tr>
      <w:tr w14:paraId="5D7421AE">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770" w:hRule="atLeast"/>
        </w:trPr>
        <w:tc>
          <w:tcPr>
            <w:tcW w:w="1560" w:type="dxa"/>
            <w:noWrap w:val="0"/>
            <w:vAlign w:val="center"/>
          </w:tcPr>
          <w:p w14:paraId="5C27A0C6">
            <w:pPr>
              <w:pageBreakBefore w:val="0"/>
              <w:spacing w:line="420" w:lineRule="exact"/>
              <w:jc w:val="center"/>
              <w:rPr>
                <w:rFonts w:ascii="宋体" w:hAnsi="宋体"/>
                <w:sz w:val="24"/>
              </w:rPr>
            </w:pPr>
          </w:p>
        </w:tc>
        <w:tc>
          <w:tcPr>
            <w:tcW w:w="1789" w:type="dxa"/>
            <w:noWrap w:val="0"/>
            <w:vAlign w:val="center"/>
          </w:tcPr>
          <w:p w14:paraId="69ADD4DC">
            <w:pPr>
              <w:pageBreakBefore w:val="0"/>
              <w:spacing w:line="420" w:lineRule="exact"/>
              <w:jc w:val="left"/>
              <w:rPr>
                <w:rFonts w:ascii="宋体" w:hAnsi="宋体"/>
                <w:bCs/>
                <w:sz w:val="24"/>
              </w:rPr>
            </w:pPr>
            <w:r>
              <w:rPr>
                <w:rFonts w:hint="eastAsia" w:ascii="宋体" w:hAnsi="宋体"/>
                <w:bCs/>
                <w:sz w:val="24"/>
              </w:rPr>
              <w:t>税费</w:t>
            </w:r>
          </w:p>
        </w:tc>
        <w:tc>
          <w:tcPr>
            <w:tcW w:w="5170" w:type="dxa"/>
            <w:noWrap w:val="0"/>
            <w:vAlign w:val="center"/>
          </w:tcPr>
          <w:p w14:paraId="50EDBBBD">
            <w:pPr>
              <w:pageBreakBefore w:val="0"/>
              <w:spacing w:line="420" w:lineRule="exact"/>
              <w:jc w:val="left"/>
              <w:rPr>
                <w:rFonts w:ascii="宋体" w:hAnsi="宋体"/>
                <w:sz w:val="24"/>
              </w:rPr>
            </w:pPr>
            <w:r>
              <w:rPr>
                <w:rFonts w:hint="eastAsia" w:ascii="宋体" w:hAnsi="宋体"/>
                <w:sz w:val="24"/>
              </w:rPr>
              <w:t>1.中国政府根据现行税法规定对甲方征收的与本合同有关的一切税费均由甲方负担（免税部分除外），询价文件另有规定的除外。</w:t>
            </w:r>
          </w:p>
          <w:p w14:paraId="0D20B194">
            <w:pPr>
              <w:pageBreakBefore w:val="0"/>
              <w:spacing w:line="420" w:lineRule="exact"/>
              <w:jc w:val="left"/>
              <w:rPr>
                <w:rFonts w:ascii="宋体" w:hAnsi="宋体"/>
                <w:sz w:val="24"/>
              </w:rPr>
            </w:pPr>
            <w:r>
              <w:rPr>
                <w:rFonts w:hint="eastAsia" w:ascii="宋体" w:hAnsi="宋体"/>
                <w:sz w:val="24"/>
              </w:rPr>
              <w:t>2.中国政府根据现行税法规定对乙方征收的与本合同有关的一切税费均由乙方负担（免税部分除外）。</w:t>
            </w:r>
          </w:p>
        </w:tc>
      </w:tr>
      <w:tr w14:paraId="3A6667AD">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770" w:hRule="atLeast"/>
        </w:trPr>
        <w:tc>
          <w:tcPr>
            <w:tcW w:w="1560" w:type="dxa"/>
            <w:noWrap w:val="0"/>
            <w:vAlign w:val="center"/>
          </w:tcPr>
          <w:p w14:paraId="2687EE43">
            <w:pPr>
              <w:pageBreakBefore w:val="0"/>
              <w:spacing w:line="420" w:lineRule="exact"/>
              <w:jc w:val="center"/>
              <w:rPr>
                <w:rFonts w:ascii="宋体" w:hAnsi="宋体"/>
                <w:sz w:val="24"/>
              </w:rPr>
            </w:pPr>
          </w:p>
        </w:tc>
        <w:tc>
          <w:tcPr>
            <w:tcW w:w="1789" w:type="dxa"/>
            <w:noWrap w:val="0"/>
            <w:vAlign w:val="center"/>
          </w:tcPr>
          <w:p w14:paraId="524A0676">
            <w:pPr>
              <w:pageBreakBefore w:val="0"/>
              <w:spacing w:line="420" w:lineRule="exact"/>
              <w:jc w:val="left"/>
              <w:rPr>
                <w:rFonts w:ascii="宋体" w:hAnsi="宋体"/>
                <w:bCs/>
                <w:sz w:val="24"/>
              </w:rPr>
            </w:pPr>
            <w:r>
              <w:rPr>
                <w:rFonts w:hint="eastAsia" w:ascii="宋体" w:hAnsi="宋体"/>
                <w:bCs/>
                <w:sz w:val="24"/>
              </w:rPr>
              <w:t>伴随服务</w:t>
            </w:r>
          </w:p>
        </w:tc>
        <w:tc>
          <w:tcPr>
            <w:tcW w:w="5170" w:type="dxa"/>
            <w:noWrap w:val="0"/>
            <w:vAlign w:val="center"/>
          </w:tcPr>
          <w:p w14:paraId="54E838DE">
            <w:pPr>
              <w:pageBreakBefore w:val="0"/>
              <w:spacing w:line="420" w:lineRule="exact"/>
              <w:jc w:val="left"/>
              <w:rPr>
                <w:rFonts w:ascii="宋体" w:hAnsi="宋体"/>
                <w:sz w:val="24"/>
              </w:rPr>
            </w:pPr>
            <w:r>
              <w:rPr>
                <w:rFonts w:hint="eastAsia" w:ascii="宋体" w:hAnsi="宋体"/>
                <w:sz w:val="24"/>
              </w:rPr>
              <w:t>1.乙方应按照国家</w:t>
            </w:r>
            <w:r>
              <w:rPr>
                <w:rFonts w:hint="eastAsia" w:ascii="宋体" w:hAnsi="宋体"/>
                <w:b/>
                <w:sz w:val="24"/>
              </w:rPr>
              <w:t>“新三包”</w:t>
            </w:r>
            <w:r>
              <w:rPr>
                <w:rFonts w:hint="eastAsia" w:ascii="宋体" w:hAnsi="宋体"/>
                <w:sz w:val="24"/>
              </w:rPr>
              <w:t>规定和合同中所附的服务承诺提供服务。</w:t>
            </w:r>
          </w:p>
          <w:p w14:paraId="666A2940">
            <w:pPr>
              <w:pageBreakBefore w:val="0"/>
              <w:spacing w:line="420" w:lineRule="exact"/>
              <w:jc w:val="left"/>
              <w:rPr>
                <w:rFonts w:ascii="宋体" w:hAnsi="宋体"/>
                <w:sz w:val="24"/>
              </w:rPr>
            </w:pPr>
            <w:r>
              <w:rPr>
                <w:rFonts w:hint="eastAsia" w:ascii="宋体" w:hAnsi="宋体"/>
                <w:sz w:val="24"/>
              </w:rPr>
              <w:t>2.除第1条规定外，乙方还应提供下列服务：</w:t>
            </w:r>
          </w:p>
          <w:p w14:paraId="132C7B08">
            <w:pPr>
              <w:pageBreakBefore w:val="0"/>
              <w:spacing w:line="420" w:lineRule="exact"/>
              <w:jc w:val="left"/>
              <w:rPr>
                <w:rFonts w:ascii="宋体" w:hAnsi="宋体"/>
                <w:b/>
                <w:sz w:val="24"/>
              </w:rPr>
            </w:pPr>
            <w:r>
              <w:rPr>
                <w:rFonts w:hint="eastAsia" w:ascii="宋体" w:hAnsi="宋体"/>
                <w:b/>
                <w:sz w:val="24"/>
              </w:rPr>
              <w:t xml:space="preserve"> (1) 询价文件中的“服务要求”所规定的服务内容以及</w:t>
            </w:r>
            <w:r>
              <w:rPr>
                <w:rFonts w:hint="eastAsia" w:ascii="宋体" w:hAnsi="宋体"/>
                <w:sz w:val="24"/>
              </w:rPr>
              <w:t>响应</w:t>
            </w:r>
            <w:r>
              <w:rPr>
                <w:rFonts w:hint="eastAsia" w:ascii="宋体" w:hAnsi="宋体"/>
                <w:b/>
                <w:sz w:val="24"/>
              </w:rPr>
              <w:t>文件承诺提供的其他服务内容；</w:t>
            </w:r>
          </w:p>
          <w:p w14:paraId="5CF4869A">
            <w:pPr>
              <w:pageBreakBefore w:val="0"/>
              <w:spacing w:line="420" w:lineRule="exact"/>
              <w:jc w:val="left"/>
              <w:rPr>
                <w:rFonts w:ascii="宋体" w:hAnsi="宋体"/>
                <w:sz w:val="24"/>
              </w:rPr>
            </w:pPr>
            <w:r>
              <w:rPr>
                <w:rFonts w:hint="eastAsia" w:ascii="宋体" w:hAnsi="宋体"/>
                <w:sz w:val="24"/>
              </w:rPr>
              <w:t xml:space="preserve"> (2) 负责货物的开孔，货物的现场安装；</w:t>
            </w:r>
          </w:p>
          <w:p w14:paraId="430D8AA5">
            <w:pPr>
              <w:pageBreakBefore w:val="0"/>
              <w:spacing w:line="420" w:lineRule="exact"/>
              <w:jc w:val="left"/>
              <w:rPr>
                <w:rFonts w:ascii="宋体" w:hAnsi="宋体"/>
                <w:sz w:val="24"/>
              </w:rPr>
            </w:pPr>
            <w:r>
              <w:rPr>
                <w:rFonts w:hint="eastAsia" w:ascii="宋体" w:hAnsi="宋体"/>
                <w:sz w:val="24"/>
              </w:rPr>
              <w:t xml:space="preserve"> (3) 提供货物组装和维修所需的工具；</w:t>
            </w:r>
          </w:p>
          <w:p w14:paraId="65B36AE3">
            <w:pPr>
              <w:pageBreakBefore w:val="0"/>
              <w:spacing w:line="420" w:lineRule="exact"/>
              <w:jc w:val="left"/>
              <w:rPr>
                <w:rFonts w:ascii="宋体" w:hAnsi="宋体"/>
                <w:sz w:val="24"/>
              </w:rPr>
            </w:pPr>
            <w:r>
              <w:rPr>
                <w:rFonts w:hint="eastAsia" w:ascii="宋体" w:hAnsi="宋体"/>
                <w:sz w:val="24"/>
              </w:rPr>
              <w:t xml:space="preserve"> (4) 在合同中乙方承诺的质保期限内对所提供货物正常使用实施监督、维修，但前提条件是该服务并不能免除乙方在质量保证期内应承担的义务；</w:t>
            </w:r>
          </w:p>
          <w:p w14:paraId="5C39DA35">
            <w:pPr>
              <w:pageBreakBefore w:val="0"/>
              <w:spacing w:line="420" w:lineRule="exact"/>
              <w:jc w:val="left"/>
              <w:rPr>
                <w:rFonts w:ascii="宋体" w:hAnsi="宋体"/>
                <w:sz w:val="24"/>
              </w:rPr>
            </w:pPr>
            <w:r>
              <w:rPr>
                <w:rFonts w:hint="eastAsia" w:ascii="宋体" w:hAnsi="宋体"/>
                <w:sz w:val="24"/>
              </w:rPr>
              <w:t xml:space="preserve"> (5) 在货物交货现场就货物的安装、启用、维护等对甲方人员进行培训。</w:t>
            </w:r>
          </w:p>
          <w:p w14:paraId="26F40E38">
            <w:pPr>
              <w:pageBreakBefore w:val="0"/>
              <w:spacing w:line="420" w:lineRule="exact"/>
              <w:jc w:val="left"/>
              <w:rPr>
                <w:rFonts w:ascii="宋体" w:hAnsi="宋体"/>
                <w:sz w:val="24"/>
              </w:rPr>
            </w:pPr>
            <w:r>
              <w:rPr>
                <w:rFonts w:hint="eastAsia" w:ascii="宋体" w:hAnsi="宋体"/>
                <w:sz w:val="24"/>
              </w:rPr>
              <w:t>3.伴随服务的费用应含在合同价中，不单独进行支付。</w:t>
            </w:r>
          </w:p>
        </w:tc>
      </w:tr>
      <w:tr w14:paraId="5CA34BED">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770" w:hRule="atLeast"/>
        </w:trPr>
        <w:tc>
          <w:tcPr>
            <w:tcW w:w="1560" w:type="dxa"/>
            <w:noWrap w:val="0"/>
            <w:vAlign w:val="center"/>
          </w:tcPr>
          <w:p w14:paraId="34388A04">
            <w:pPr>
              <w:pageBreakBefore w:val="0"/>
              <w:spacing w:line="420" w:lineRule="exact"/>
              <w:jc w:val="center"/>
              <w:rPr>
                <w:rFonts w:ascii="宋体" w:hAnsi="宋体"/>
                <w:sz w:val="24"/>
              </w:rPr>
            </w:pPr>
          </w:p>
        </w:tc>
        <w:tc>
          <w:tcPr>
            <w:tcW w:w="1789" w:type="dxa"/>
            <w:noWrap w:val="0"/>
            <w:vAlign w:val="center"/>
          </w:tcPr>
          <w:p w14:paraId="1ECC5268">
            <w:pPr>
              <w:pageBreakBefore w:val="0"/>
              <w:spacing w:line="420" w:lineRule="exact"/>
              <w:jc w:val="left"/>
              <w:rPr>
                <w:rFonts w:ascii="宋体" w:hAnsi="宋体"/>
                <w:sz w:val="24"/>
              </w:rPr>
            </w:pPr>
            <w:r>
              <w:rPr>
                <w:rFonts w:hint="eastAsia" w:ascii="宋体" w:hAnsi="宋体"/>
                <w:sz w:val="24"/>
              </w:rPr>
              <w:t>索赔</w:t>
            </w:r>
          </w:p>
          <w:p w14:paraId="400D87F9">
            <w:pPr>
              <w:pageBreakBefore w:val="0"/>
              <w:spacing w:line="420" w:lineRule="exact"/>
              <w:jc w:val="left"/>
              <w:rPr>
                <w:rFonts w:ascii="宋体" w:hAnsi="宋体"/>
                <w:sz w:val="24"/>
              </w:rPr>
            </w:pPr>
          </w:p>
        </w:tc>
        <w:tc>
          <w:tcPr>
            <w:tcW w:w="5170" w:type="dxa"/>
            <w:noWrap w:val="0"/>
            <w:vAlign w:val="center"/>
          </w:tcPr>
          <w:p w14:paraId="59C92D55">
            <w:pPr>
              <w:pageBreakBefore w:val="0"/>
              <w:spacing w:line="420" w:lineRule="exact"/>
              <w:jc w:val="left"/>
              <w:rPr>
                <w:rFonts w:ascii="宋体" w:hAnsi="宋体"/>
                <w:sz w:val="24"/>
              </w:rPr>
            </w:pPr>
            <w:r>
              <w:rPr>
                <w:rFonts w:hint="eastAsia" w:ascii="宋体" w:hAnsi="宋体"/>
                <w:sz w:val="24"/>
              </w:rPr>
              <w:t>1.甲方有权根据当地质检部门出具的检验报告，向乙方提出索赔。</w:t>
            </w:r>
          </w:p>
          <w:p w14:paraId="23A5D1E9">
            <w:pPr>
              <w:pageBreakBefore w:val="0"/>
              <w:spacing w:line="420" w:lineRule="exact"/>
              <w:jc w:val="left"/>
              <w:rPr>
                <w:rFonts w:ascii="宋体" w:hAnsi="宋体"/>
                <w:sz w:val="24"/>
              </w:rPr>
            </w:pPr>
            <w:r>
              <w:rPr>
                <w:rFonts w:hint="eastAsia" w:ascii="宋体" w:hAnsi="宋体"/>
                <w:sz w:val="24"/>
              </w:rPr>
              <w:t>2.根据合同规定的检验期和质量保证期内，如果乙方对甲方提出的索赔和差异负有责任，乙方应按照甲方同意的下列一种或多种方式解决索赔事宜：</w:t>
            </w:r>
          </w:p>
          <w:p w14:paraId="117CBF1B">
            <w:pPr>
              <w:pageBreakBefore w:val="0"/>
              <w:spacing w:line="420" w:lineRule="exact"/>
              <w:jc w:val="left"/>
              <w:rPr>
                <w:rFonts w:ascii="宋体" w:hAnsi="宋体"/>
                <w:sz w:val="24"/>
              </w:rPr>
            </w:pPr>
            <w:r>
              <w:rPr>
                <w:rFonts w:hint="eastAsia" w:ascii="宋体" w:hAnsi="宋体"/>
                <w:sz w:val="24"/>
              </w:rPr>
              <w:t xml:space="preserve"> (1) 乙方同意退货，并用合同中规定的货币将货款退还给甲方，并承担由此发生的一切损失和费用，包括利息、银行手续费、运费、保险费、检验费、仓储费、装卸费以及为保护退回货物所需的其它必要费用。</w:t>
            </w:r>
          </w:p>
          <w:p w14:paraId="2A8C21A8">
            <w:pPr>
              <w:pageBreakBefore w:val="0"/>
              <w:spacing w:line="420" w:lineRule="exact"/>
              <w:jc w:val="left"/>
              <w:rPr>
                <w:rFonts w:ascii="宋体" w:hAnsi="宋体"/>
                <w:sz w:val="24"/>
              </w:rPr>
            </w:pPr>
            <w:r>
              <w:rPr>
                <w:rFonts w:hint="eastAsia" w:ascii="宋体" w:hAnsi="宋体"/>
                <w:sz w:val="24"/>
              </w:rPr>
              <w:t xml:space="preserve"> (2) 根据货物的低劣程度、损坏程度以及甲方所遭受损失的数额，乙方必须降低货物的价格。</w:t>
            </w:r>
          </w:p>
          <w:p w14:paraId="476A6BF0">
            <w:pPr>
              <w:pageBreakBefore w:val="0"/>
              <w:spacing w:line="420" w:lineRule="exact"/>
              <w:jc w:val="left"/>
              <w:rPr>
                <w:rFonts w:ascii="宋体" w:hAnsi="宋体"/>
                <w:sz w:val="24"/>
              </w:rPr>
            </w:pPr>
            <w:r>
              <w:rPr>
                <w:rFonts w:hint="eastAsia" w:ascii="宋体" w:hAnsi="宋体"/>
                <w:sz w:val="24"/>
              </w:rPr>
              <w:t>(3) 用符合合同规定的规格、质量和性能要求的新零件或部件来更换有缺陷的部分，乙方应承担一切费用和风险并负担甲方所蒙受的全部直接损失费用。同时，乙方应按合同规定，对更换件相应延长质量保证期。</w:t>
            </w:r>
          </w:p>
          <w:p w14:paraId="0774D324">
            <w:pPr>
              <w:pageBreakBefore w:val="0"/>
              <w:spacing w:line="420" w:lineRule="exact"/>
              <w:jc w:val="left"/>
              <w:rPr>
                <w:rFonts w:ascii="宋体" w:hAnsi="宋体"/>
                <w:sz w:val="24"/>
              </w:rPr>
            </w:pPr>
            <w:r>
              <w:rPr>
                <w:rFonts w:hint="eastAsia" w:ascii="宋体" w:hAnsi="宋体"/>
                <w:sz w:val="24"/>
              </w:rPr>
              <w:t>3.如果在甲方发出索赔通知后20天内，乙方未作答复，上述索赔应视为已被乙方接受，如乙方未能在甲方提出索赔通知后20天内或甲方同意的更长时间内，按照本合同规定的任何一种方法解决索赔事宜，甲方将从乙方开具的履约保证金中扣回索赔金额，或采用法律手段解决索赔事宜。</w:t>
            </w:r>
          </w:p>
        </w:tc>
      </w:tr>
      <w:tr w14:paraId="24E57B1C">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770" w:hRule="atLeast"/>
        </w:trPr>
        <w:tc>
          <w:tcPr>
            <w:tcW w:w="1560" w:type="dxa"/>
            <w:noWrap w:val="0"/>
            <w:vAlign w:val="center"/>
          </w:tcPr>
          <w:p w14:paraId="3A72F94A">
            <w:pPr>
              <w:pageBreakBefore w:val="0"/>
              <w:spacing w:line="420" w:lineRule="exact"/>
              <w:jc w:val="center"/>
              <w:rPr>
                <w:rFonts w:ascii="宋体" w:hAnsi="宋体"/>
                <w:sz w:val="24"/>
              </w:rPr>
            </w:pPr>
          </w:p>
        </w:tc>
        <w:tc>
          <w:tcPr>
            <w:tcW w:w="1789" w:type="dxa"/>
            <w:noWrap w:val="0"/>
            <w:vAlign w:val="center"/>
          </w:tcPr>
          <w:p w14:paraId="6D81DD97">
            <w:pPr>
              <w:pageBreakBefore w:val="0"/>
              <w:spacing w:line="420" w:lineRule="exact"/>
              <w:jc w:val="left"/>
              <w:rPr>
                <w:rFonts w:ascii="宋体" w:hAnsi="宋体"/>
                <w:sz w:val="24"/>
              </w:rPr>
            </w:pPr>
            <w:r>
              <w:rPr>
                <w:rFonts w:hint="eastAsia" w:ascii="宋体" w:hAnsi="宋体"/>
                <w:sz w:val="24"/>
              </w:rPr>
              <w:t>合同生效及其它</w:t>
            </w:r>
          </w:p>
          <w:p w14:paraId="065ADDAE">
            <w:pPr>
              <w:pageBreakBefore w:val="0"/>
              <w:spacing w:line="420" w:lineRule="exact"/>
              <w:jc w:val="left"/>
              <w:rPr>
                <w:rFonts w:ascii="宋体" w:hAnsi="宋体"/>
                <w:bCs/>
                <w:sz w:val="24"/>
              </w:rPr>
            </w:pPr>
          </w:p>
        </w:tc>
        <w:tc>
          <w:tcPr>
            <w:tcW w:w="5170" w:type="dxa"/>
            <w:noWrap w:val="0"/>
            <w:vAlign w:val="center"/>
          </w:tcPr>
          <w:p w14:paraId="1837A1AC">
            <w:pPr>
              <w:pageBreakBefore w:val="0"/>
              <w:spacing w:line="420" w:lineRule="exact"/>
              <w:jc w:val="left"/>
              <w:rPr>
                <w:rFonts w:ascii="宋体" w:hAnsi="宋体"/>
                <w:sz w:val="24"/>
              </w:rPr>
            </w:pPr>
            <w:r>
              <w:rPr>
                <w:rFonts w:hint="eastAsia" w:ascii="宋体" w:hAnsi="宋体"/>
                <w:sz w:val="24"/>
              </w:rPr>
              <w:t>1. 合同经甲方、乙方盖章后生效。</w:t>
            </w:r>
          </w:p>
          <w:p w14:paraId="7BC9C83B">
            <w:pPr>
              <w:pageBreakBefore w:val="0"/>
              <w:spacing w:line="420" w:lineRule="exact"/>
              <w:jc w:val="left"/>
              <w:rPr>
                <w:rFonts w:ascii="宋体" w:hAnsi="宋体"/>
                <w:sz w:val="24"/>
              </w:rPr>
            </w:pPr>
            <w:r>
              <w:rPr>
                <w:rFonts w:hint="eastAsia" w:ascii="宋体" w:hAnsi="宋体"/>
                <w:sz w:val="24"/>
              </w:rPr>
              <w:t>2. 货物交付使用后所发生的合同纠纷，由甲方与乙方协商处理。</w:t>
            </w:r>
          </w:p>
          <w:p w14:paraId="2BE66B2F">
            <w:pPr>
              <w:pageBreakBefore w:val="0"/>
              <w:spacing w:line="420" w:lineRule="exact"/>
              <w:jc w:val="left"/>
              <w:rPr>
                <w:rFonts w:ascii="宋体" w:hAnsi="宋体"/>
                <w:sz w:val="24"/>
              </w:rPr>
            </w:pPr>
            <w:r>
              <w:rPr>
                <w:rFonts w:hint="eastAsia" w:ascii="宋体" w:hAnsi="宋体"/>
                <w:sz w:val="24"/>
              </w:rPr>
              <w:t>3.如需修改（指非主要合同条款）或补充合同内容，应经甲方、乙方协商，且修改及补充内容不得对本合同主要条款、询价文件和中标人的响应文件作实质性修改，并签署书面修改或补充协议。该协议将作为本合同不可分割的一部分。</w:t>
            </w:r>
          </w:p>
          <w:p w14:paraId="6C49B9DC">
            <w:pPr>
              <w:pageBreakBefore w:val="0"/>
              <w:spacing w:line="420" w:lineRule="exact"/>
              <w:jc w:val="left"/>
              <w:rPr>
                <w:rFonts w:ascii="宋体" w:hAnsi="宋体"/>
                <w:sz w:val="24"/>
              </w:rPr>
            </w:pPr>
            <w:r>
              <w:rPr>
                <w:rFonts w:hint="eastAsia" w:ascii="宋体" w:hAnsi="宋体"/>
                <w:sz w:val="24"/>
              </w:rPr>
              <w:t>4.本合同应按照中华人民共和国的现行法律进行解释。本合同未尽事宜，遵照《民法典》、《政府采购法》等有关条文执行。</w:t>
            </w:r>
          </w:p>
        </w:tc>
      </w:tr>
    </w:tbl>
    <w:p w14:paraId="304B7DD4">
      <w:pPr>
        <w:pageBreakBefore w:val="0"/>
        <w:spacing w:line="420" w:lineRule="exact"/>
        <w:rPr>
          <w:sz w:val="24"/>
        </w:rPr>
      </w:pPr>
    </w:p>
    <w:p w14:paraId="0A0C7FE4">
      <w:pPr>
        <w:pageBreakBefore w:val="0"/>
        <w:spacing w:line="420" w:lineRule="exact"/>
      </w:pPr>
    </w:p>
    <w:p w14:paraId="6E41755E">
      <w:pPr>
        <w:pStyle w:val="29"/>
        <w:pageBreakBefore w:val="0"/>
        <w:widowControl w:val="0"/>
        <w:spacing w:before="120" w:beforeAutospacing="0" w:after="120" w:afterAutospacing="0" w:line="420" w:lineRule="exact"/>
        <w:jc w:val="center"/>
        <w:rPr>
          <w:rFonts w:ascii="黑体" w:eastAsia="黑体" w:cs="黑体"/>
          <w:sz w:val="44"/>
          <w:szCs w:val="44"/>
        </w:rPr>
      </w:pPr>
    </w:p>
    <w:p w14:paraId="31AFDF1B">
      <w:pPr>
        <w:pStyle w:val="29"/>
        <w:pageBreakBefore w:val="0"/>
        <w:widowControl w:val="0"/>
        <w:spacing w:before="120" w:beforeAutospacing="0" w:after="120" w:afterAutospacing="0" w:line="420" w:lineRule="exact"/>
        <w:jc w:val="center"/>
        <w:rPr>
          <w:rFonts w:ascii="黑体" w:eastAsia="黑体" w:cs="黑体"/>
          <w:sz w:val="44"/>
          <w:szCs w:val="44"/>
        </w:rPr>
      </w:pPr>
    </w:p>
    <w:p w14:paraId="3BE0EEEA">
      <w:pPr>
        <w:pStyle w:val="29"/>
        <w:pageBreakBefore w:val="0"/>
        <w:widowControl w:val="0"/>
        <w:spacing w:before="120" w:beforeAutospacing="0" w:after="120" w:afterAutospacing="0" w:line="420" w:lineRule="exact"/>
        <w:jc w:val="center"/>
        <w:rPr>
          <w:rFonts w:ascii="黑体" w:eastAsia="黑体" w:cs="黑体"/>
          <w:sz w:val="44"/>
          <w:szCs w:val="44"/>
        </w:rPr>
      </w:pPr>
    </w:p>
    <w:p w14:paraId="0890E969">
      <w:pPr>
        <w:pStyle w:val="29"/>
        <w:pageBreakBefore w:val="0"/>
        <w:widowControl w:val="0"/>
        <w:spacing w:before="120" w:beforeAutospacing="0" w:after="120" w:afterAutospacing="0" w:line="420" w:lineRule="exact"/>
        <w:jc w:val="center"/>
        <w:rPr>
          <w:rFonts w:ascii="黑体" w:eastAsia="黑体" w:cs="黑体"/>
          <w:sz w:val="44"/>
          <w:szCs w:val="44"/>
        </w:rPr>
      </w:pPr>
    </w:p>
    <w:p w14:paraId="41870B6D">
      <w:pPr>
        <w:pStyle w:val="29"/>
        <w:pageBreakBefore w:val="0"/>
        <w:widowControl w:val="0"/>
        <w:spacing w:before="120" w:beforeAutospacing="0" w:after="120" w:afterAutospacing="0" w:line="420" w:lineRule="exact"/>
        <w:jc w:val="center"/>
        <w:rPr>
          <w:rFonts w:ascii="黑体" w:eastAsia="黑体" w:cs="黑体"/>
          <w:sz w:val="44"/>
          <w:szCs w:val="44"/>
        </w:rPr>
      </w:pPr>
    </w:p>
    <w:p w14:paraId="79733064">
      <w:pPr>
        <w:pStyle w:val="29"/>
        <w:pageBreakBefore w:val="0"/>
        <w:widowControl w:val="0"/>
        <w:spacing w:before="120" w:beforeAutospacing="0" w:after="120" w:afterAutospacing="0" w:line="420" w:lineRule="exact"/>
        <w:jc w:val="center"/>
        <w:rPr>
          <w:rFonts w:ascii="黑体" w:eastAsia="黑体" w:cs="黑体"/>
          <w:sz w:val="44"/>
          <w:szCs w:val="44"/>
        </w:rPr>
      </w:pPr>
    </w:p>
    <w:p w14:paraId="39615674">
      <w:pPr>
        <w:pStyle w:val="29"/>
        <w:pageBreakBefore w:val="0"/>
        <w:widowControl w:val="0"/>
        <w:spacing w:before="120" w:beforeAutospacing="0" w:after="120" w:afterAutospacing="0" w:line="420" w:lineRule="exact"/>
        <w:jc w:val="center"/>
        <w:rPr>
          <w:rFonts w:ascii="黑体" w:eastAsia="黑体" w:cs="黑体"/>
          <w:sz w:val="44"/>
          <w:szCs w:val="44"/>
        </w:rPr>
      </w:pPr>
    </w:p>
    <w:p w14:paraId="59B16406">
      <w:pPr>
        <w:pStyle w:val="29"/>
        <w:pageBreakBefore w:val="0"/>
        <w:widowControl w:val="0"/>
        <w:spacing w:before="120" w:beforeAutospacing="0" w:after="120" w:afterAutospacing="0" w:line="420" w:lineRule="exact"/>
        <w:rPr>
          <w:rFonts w:hint="eastAsia" w:ascii="黑体" w:eastAsia="黑体" w:cs="黑体"/>
          <w:sz w:val="44"/>
          <w:szCs w:val="44"/>
        </w:rPr>
      </w:pPr>
    </w:p>
    <w:p w14:paraId="01828C78">
      <w:pPr>
        <w:pStyle w:val="29"/>
        <w:pageBreakBefore w:val="0"/>
        <w:widowControl w:val="0"/>
        <w:spacing w:before="120" w:beforeAutospacing="0" w:after="120" w:afterAutospacing="0" w:line="240" w:lineRule="auto"/>
        <w:jc w:val="center"/>
        <w:rPr>
          <w:rFonts w:hint="eastAsia" w:ascii="黑体" w:eastAsia="黑体" w:cs="黑体"/>
          <w:sz w:val="44"/>
          <w:szCs w:val="44"/>
        </w:rPr>
      </w:pPr>
      <w:r>
        <w:rPr>
          <w:rFonts w:hint="eastAsia" w:ascii="黑体" w:eastAsia="黑体" w:cs="黑体"/>
          <w:sz w:val="44"/>
          <w:szCs w:val="44"/>
        </w:rPr>
        <w:t> </w:t>
      </w:r>
    </w:p>
    <w:p w14:paraId="78E2AD80">
      <w:pPr>
        <w:rPr>
          <w:rFonts w:hint="eastAsia" w:ascii="黑体" w:eastAsia="黑体" w:cs="黑体"/>
          <w:sz w:val="44"/>
          <w:szCs w:val="44"/>
        </w:rPr>
      </w:pPr>
      <w:r>
        <w:rPr>
          <w:rFonts w:hint="eastAsia" w:ascii="黑体" w:eastAsia="黑体" w:cs="黑体"/>
          <w:sz w:val="44"/>
          <w:szCs w:val="44"/>
        </w:rPr>
        <w:br w:type="page"/>
      </w:r>
    </w:p>
    <w:p w14:paraId="3FF575AA">
      <w:pPr>
        <w:pStyle w:val="29"/>
        <w:pageBreakBefore w:val="0"/>
        <w:widowControl w:val="0"/>
        <w:spacing w:before="120" w:beforeAutospacing="0" w:after="120" w:afterAutospacing="0" w:line="240" w:lineRule="auto"/>
        <w:jc w:val="center"/>
      </w:pPr>
      <w:r>
        <w:rPr>
          <w:rFonts w:hint="eastAsia" w:ascii="黑体" w:eastAsia="黑体" w:cs="黑体"/>
          <w:sz w:val="44"/>
          <w:szCs w:val="44"/>
        </w:rPr>
        <w:t>第</w:t>
      </w:r>
      <w:bookmarkEnd w:id="131"/>
      <w:r>
        <w:rPr>
          <w:rFonts w:hint="eastAsia" w:ascii="黑体" w:eastAsia="黑体" w:cs="黑体"/>
          <w:sz w:val="44"/>
          <w:szCs w:val="44"/>
        </w:rPr>
        <w:t>四章 采购需求</w:t>
      </w:r>
      <w:bookmarkEnd w:id="132"/>
      <w:bookmarkEnd w:id="133"/>
      <w:bookmarkEnd w:id="134"/>
      <w:bookmarkEnd w:id="135"/>
      <w:bookmarkStart w:id="142" w:name="_Toc26554093"/>
      <w:bookmarkEnd w:id="142"/>
      <w:bookmarkStart w:id="143" w:name="_Toc49090575"/>
      <w:bookmarkEnd w:id="143"/>
    </w:p>
    <w:p w14:paraId="679C364D">
      <w:pPr>
        <w:pStyle w:val="29"/>
        <w:pageBreakBefore w:val="0"/>
        <w:widowControl w:val="0"/>
        <w:spacing w:before="120" w:beforeAutospacing="0" w:after="120" w:afterAutospacing="0" w:line="420" w:lineRule="exact"/>
        <w:jc w:val="both"/>
      </w:pPr>
      <w:r>
        <w:rPr>
          <w:rFonts w:hint="eastAsia"/>
          <w:b/>
          <w:bCs/>
        </w:rPr>
        <w:t>项目属性：货物类项目</w:t>
      </w:r>
      <w:r>
        <w:rPr>
          <w:rFonts w:hint="eastAsia"/>
        </w:rPr>
        <w:t> </w:t>
      </w:r>
    </w:p>
    <w:p w14:paraId="3453E369">
      <w:pPr>
        <w:spacing w:line="360" w:lineRule="auto"/>
        <w:ind w:firstLine="562"/>
        <w:rPr>
          <w:rFonts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一、项目概况</w:t>
      </w:r>
    </w:p>
    <w:p w14:paraId="5DF47548">
      <w:pPr>
        <w:spacing w:line="360" w:lineRule="auto"/>
        <w:ind w:firstLine="480"/>
        <w:rPr>
          <w:rFonts w:hint="default"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w:t>
      </w:r>
      <w:r>
        <w:rPr>
          <w:rFonts w:hint="eastAsia" w:ascii="宋体" w:hAnsi="宋体" w:eastAsia="宋体" w:cs="宋体"/>
          <w:color w:val="000000" w:themeColor="text1"/>
          <w:sz w:val="24"/>
          <w:szCs w:val="24"/>
          <w:highlight w:val="none"/>
          <w:lang w:eastAsia="zh-CN"/>
          <w14:textFill>
            <w14:solidFill>
              <w14:schemeClr w14:val="tx1"/>
            </w14:solidFill>
          </w14:textFill>
        </w:rPr>
        <w:t>项目编号：</w:t>
      </w:r>
      <w:r>
        <w:rPr>
          <w:rFonts w:hint="eastAsia" w:ascii="宋体" w:hAnsi="宋体" w:cs="宋体"/>
          <w:color w:val="000000" w:themeColor="text1"/>
          <w:sz w:val="24"/>
          <w:szCs w:val="24"/>
          <w:highlight w:val="none"/>
          <w:lang w:eastAsia="zh-CN"/>
          <w14:textFill>
            <w14:solidFill>
              <w14:schemeClr w14:val="tx1"/>
            </w14:solidFill>
          </w14:textFill>
        </w:rPr>
        <w:t>JSZC-320923-SNST-X2025-0003</w:t>
      </w:r>
    </w:p>
    <w:p w14:paraId="1CA4625D">
      <w:pPr>
        <w:spacing w:line="360" w:lineRule="auto"/>
        <w:ind w:firstLine="480"/>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2.项目名称：</w:t>
      </w:r>
      <w:r>
        <w:rPr>
          <w:rFonts w:hint="eastAsia" w:ascii="宋体" w:hAnsi="宋体" w:cs="宋体"/>
          <w:color w:val="000000" w:themeColor="text1"/>
          <w:sz w:val="24"/>
          <w:szCs w:val="24"/>
          <w:highlight w:val="none"/>
          <w:lang w:eastAsia="zh-CN"/>
          <w14:textFill>
            <w14:solidFill>
              <w14:schemeClr w14:val="tx1"/>
            </w14:solidFill>
          </w14:textFill>
        </w:rPr>
        <w:t>阜宁县殡仪服务中心殡仪专用车辆采购项目（二次）</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 </w:t>
      </w:r>
    </w:p>
    <w:p w14:paraId="2D5ECBB1">
      <w:pPr>
        <w:spacing w:line="360" w:lineRule="auto"/>
        <w:ind w:firstLine="480"/>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3.预算金额：</w:t>
      </w:r>
      <w:r>
        <w:rPr>
          <w:rFonts w:hint="eastAsia" w:ascii="宋体" w:hAnsi="宋体" w:cs="宋体"/>
          <w:color w:val="000000" w:themeColor="text1"/>
          <w:sz w:val="24"/>
          <w:szCs w:val="24"/>
          <w:highlight w:val="none"/>
          <w:lang w:eastAsia="zh-CN"/>
          <w14:textFill>
            <w14:solidFill>
              <w14:schemeClr w14:val="tx1"/>
            </w14:solidFill>
          </w14:textFill>
        </w:rPr>
        <w:t>69万元</w:t>
      </w:r>
    </w:p>
    <w:p w14:paraId="4A9A89C8">
      <w:pPr>
        <w:spacing w:line="360" w:lineRule="auto"/>
        <w:ind w:firstLine="480"/>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4</w:t>
      </w:r>
      <w:r>
        <w:rPr>
          <w:rFonts w:hint="eastAsia" w:ascii="宋体" w:hAnsi="宋体" w:eastAsia="宋体" w:cs="宋体"/>
          <w:color w:val="000000" w:themeColor="text1"/>
          <w:sz w:val="24"/>
          <w:szCs w:val="24"/>
          <w:highlight w:val="none"/>
          <w:lang w:eastAsia="zh-CN"/>
          <w14:textFill>
            <w14:solidFill>
              <w14:schemeClr w14:val="tx1"/>
            </w14:solidFill>
          </w14:textFill>
        </w:rPr>
        <w:t>.最高限价：69万元</w:t>
      </w:r>
    </w:p>
    <w:p w14:paraId="2773DEE1">
      <w:pPr>
        <w:spacing w:line="360" w:lineRule="auto"/>
        <w:ind w:firstLine="480"/>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5.采购需求：</w:t>
      </w:r>
      <w:r>
        <w:rPr>
          <w:rFonts w:hint="eastAsia" w:ascii="宋体" w:hAnsi="宋体" w:cs="宋体"/>
          <w:color w:val="000000" w:themeColor="text1"/>
          <w:sz w:val="24"/>
          <w:szCs w:val="24"/>
          <w:highlight w:val="none"/>
          <w:lang w:eastAsia="zh-CN"/>
          <w14:textFill>
            <w14:solidFill>
              <w14:schemeClr w14:val="tx1"/>
            </w14:solidFill>
          </w14:textFill>
        </w:rPr>
        <w:t>阜宁县殡仪服务中心殡仪专用车辆采购项目（二次）</w:t>
      </w:r>
      <w:r>
        <w:rPr>
          <w:rFonts w:hint="eastAsia" w:ascii="宋体" w:hAnsi="宋体" w:eastAsia="宋体" w:cs="宋体"/>
          <w:color w:val="000000" w:themeColor="text1"/>
          <w:sz w:val="24"/>
          <w:szCs w:val="24"/>
          <w:highlight w:val="none"/>
          <w14:textFill>
            <w14:solidFill>
              <w14:schemeClr w14:val="tx1"/>
            </w14:solidFill>
          </w14:textFill>
        </w:rPr>
        <w:t>，主要工作内容为阜宁县殡仪服务中心6辆殡仪服务专用车辆的采购、其中3辆柴油车、3辆汽油车、运输、安装、调试、维修、售前、售后等相关伴随服务项目，具体内容详见采购清单。采购资金为国有资金，资金来源已经落实。</w:t>
      </w:r>
    </w:p>
    <w:p w14:paraId="2FC1F15A">
      <w:pPr>
        <w:spacing w:line="360" w:lineRule="auto"/>
        <w:ind w:firstLine="480"/>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6</w:t>
      </w:r>
      <w:r>
        <w:rPr>
          <w:rFonts w:hint="eastAsia" w:ascii="宋体" w:hAnsi="宋体" w:eastAsia="宋体" w:cs="宋体"/>
          <w:color w:val="000000" w:themeColor="text1"/>
          <w:sz w:val="24"/>
          <w:szCs w:val="24"/>
          <w:highlight w:val="none"/>
          <w14:textFill>
            <w14:solidFill>
              <w14:schemeClr w14:val="tx1"/>
            </w14:solidFill>
          </w14:textFill>
        </w:rPr>
        <w:t>.合同履行期限：</w:t>
      </w:r>
      <w:r>
        <w:rPr>
          <w:rFonts w:hint="eastAsia" w:ascii="宋体" w:hAnsi="宋体" w:eastAsia="宋体" w:cs="宋体"/>
          <w:color w:val="000000" w:themeColor="text1"/>
          <w:sz w:val="24"/>
          <w:szCs w:val="24"/>
          <w:highlight w:val="none"/>
          <w:lang w:eastAsia="zh-CN"/>
          <w14:textFill>
            <w14:solidFill>
              <w14:schemeClr w14:val="tx1"/>
            </w14:solidFill>
          </w14:textFill>
        </w:rPr>
        <w:t>合同签订后30日历天内完成全部货物的采购、供货、安装，并交付采购人正常运营使用。</w:t>
      </w:r>
    </w:p>
    <w:p w14:paraId="58E51CCB">
      <w:pPr>
        <w:spacing w:line="360" w:lineRule="auto"/>
        <w:ind w:firstLine="480"/>
        <w:rPr>
          <w:rFonts w:hint="eastAsia" w:cs="宋体"/>
          <w:color w:val="000000"/>
          <w:sz w:val="24"/>
          <w:szCs w:val="24"/>
          <w:highlight w:val="none"/>
          <w:shd w:val="clear" w:color="auto" w:fill="auto"/>
          <w:lang w:val="en-US" w:eastAsia="zh-CN"/>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7</w:t>
      </w:r>
      <w:r>
        <w:rPr>
          <w:rFonts w:hint="eastAsia" w:ascii="宋体" w:hAnsi="宋体" w:eastAsia="宋体" w:cs="宋体"/>
          <w:color w:val="000000" w:themeColor="text1"/>
          <w:sz w:val="24"/>
          <w:szCs w:val="24"/>
          <w:highlight w:val="none"/>
          <w14:textFill>
            <w14:solidFill>
              <w14:schemeClr w14:val="tx1"/>
            </w14:solidFill>
          </w14:textFill>
        </w:rPr>
        <w:t>.</w:t>
      </w:r>
      <w:r>
        <w:rPr>
          <w:rFonts w:hint="eastAsia" w:ascii="宋体" w:hAnsi="宋体" w:eastAsia="宋体" w:cs="宋体"/>
          <w:color w:val="000000" w:themeColor="text1"/>
          <w:sz w:val="24"/>
          <w:szCs w:val="24"/>
          <w:highlight w:val="none"/>
          <w:lang w:eastAsia="zh-CN"/>
          <w14:textFill>
            <w14:solidFill>
              <w14:schemeClr w14:val="tx1"/>
            </w14:solidFill>
          </w14:textFill>
        </w:rPr>
        <w:t>质量标准：按国标、部标、行业标准及合同要求设计、生产、改装、验收。</w:t>
      </w:r>
      <w:r>
        <w:rPr>
          <w:rFonts w:hint="eastAsia" w:cs="宋体"/>
          <w:color w:val="000000"/>
          <w:sz w:val="24"/>
          <w:szCs w:val="24"/>
          <w:highlight w:val="none"/>
          <w:shd w:val="clear" w:color="auto" w:fill="auto"/>
          <w:lang w:val="en-US" w:eastAsia="zh-CN"/>
        </w:rPr>
        <w:t>（车辆出厂日期不超过6个月）</w:t>
      </w:r>
    </w:p>
    <w:p w14:paraId="12C623AB">
      <w:pPr>
        <w:spacing w:line="360" w:lineRule="auto"/>
        <w:ind w:firstLine="480"/>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cs="宋体"/>
          <w:color w:val="000000"/>
          <w:sz w:val="24"/>
          <w:szCs w:val="24"/>
          <w:highlight w:val="none"/>
          <w:shd w:val="clear" w:color="auto" w:fill="auto"/>
          <w:lang w:val="en-US" w:eastAsia="zh-CN"/>
        </w:rPr>
        <w:t>8.</w:t>
      </w:r>
      <w:r>
        <w:rPr>
          <w:rFonts w:hint="eastAsia" w:ascii="宋体" w:hAnsi="宋体" w:cs="宋体"/>
          <w:color w:val="000000" w:themeColor="text1"/>
          <w:sz w:val="24"/>
          <w:szCs w:val="24"/>
          <w:highlight w:val="none"/>
          <w:lang w:val="en-US" w:eastAsia="zh-CN"/>
          <w14:textFill>
            <w14:solidFill>
              <w14:schemeClr w14:val="tx1"/>
            </w14:solidFill>
          </w14:textFill>
        </w:rPr>
        <w:t>车辆须符合《殡仪车通用技术规范》(MZ/T227一2024)要求</w:t>
      </w:r>
    </w:p>
    <w:p w14:paraId="16D4A859">
      <w:pPr>
        <w:spacing w:line="360" w:lineRule="auto"/>
        <w:ind w:firstLine="480"/>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9</w:t>
      </w:r>
      <w:r>
        <w:rPr>
          <w:rFonts w:hint="eastAsia" w:ascii="宋体" w:hAnsi="宋体" w:eastAsia="宋体" w:cs="宋体"/>
          <w:color w:val="000000" w:themeColor="text1"/>
          <w:sz w:val="24"/>
          <w:szCs w:val="24"/>
          <w:highlight w:val="none"/>
          <w14:textFill>
            <w14:solidFill>
              <w14:schemeClr w14:val="tx1"/>
            </w14:solidFill>
          </w14:textFill>
        </w:rPr>
        <w:t>.</w:t>
      </w:r>
      <w:r>
        <w:rPr>
          <w:rFonts w:hint="eastAsia" w:ascii="宋体" w:hAnsi="宋体" w:eastAsia="宋体" w:cs="宋体"/>
          <w:color w:val="000000" w:themeColor="text1"/>
          <w:sz w:val="24"/>
          <w:szCs w:val="24"/>
          <w:highlight w:val="none"/>
          <w:lang w:eastAsia="zh-CN"/>
          <w14:textFill>
            <w14:solidFill>
              <w14:schemeClr w14:val="tx1"/>
            </w14:solidFill>
          </w14:textFill>
        </w:rPr>
        <w:t>质保期：自车辆验收合格之日起3年或者行驶里程60000公里，以先到者为准。</w:t>
      </w:r>
    </w:p>
    <w:p w14:paraId="16F38FB1">
      <w:pPr>
        <w:spacing w:line="360" w:lineRule="auto"/>
        <w:ind w:firstLine="480"/>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10.</w:t>
      </w:r>
      <w:r>
        <w:rPr>
          <w:rFonts w:hint="eastAsia" w:ascii="宋体" w:hAnsi="宋体" w:eastAsia="宋体" w:cs="宋体"/>
          <w:color w:val="000000" w:themeColor="text1"/>
          <w:sz w:val="24"/>
          <w:szCs w:val="24"/>
          <w:highlight w:val="none"/>
          <w:lang w:eastAsia="zh-CN"/>
          <w14:textFill>
            <w14:solidFill>
              <w14:schemeClr w14:val="tx1"/>
            </w14:solidFill>
          </w14:textFill>
        </w:rPr>
        <w:t>本项目不接受联合体参与本项目的询价。</w:t>
      </w:r>
    </w:p>
    <w:p w14:paraId="390A0618">
      <w:pPr>
        <w:spacing w:line="360" w:lineRule="auto"/>
        <w:ind w:firstLine="562"/>
        <w:rPr>
          <w:rFonts w:hint="eastAsia" w:ascii="宋体" w:hAnsi="宋体" w:eastAsia="宋体" w:cs="宋体"/>
          <w:b/>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二、技术参数</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要求及配置</w:t>
      </w:r>
    </w:p>
    <w:tbl>
      <w:tblPr>
        <w:tblStyle w:val="32"/>
        <w:tblpPr w:leftFromText="180" w:rightFromText="180" w:vertAnchor="text" w:horzAnchor="page" w:tblpX="1502" w:tblpY="292"/>
        <w:tblOverlap w:val="never"/>
        <w:tblW w:w="1005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83"/>
        <w:gridCol w:w="1617"/>
        <w:gridCol w:w="5016"/>
        <w:gridCol w:w="750"/>
        <w:gridCol w:w="750"/>
        <w:gridCol w:w="840"/>
      </w:tblGrid>
      <w:tr w14:paraId="76875B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7" w:hRule="atLeast"/>
        </w:trPr>
        <w:tc>
          <w:tcPr>
            <w:tcW w:w="1083" w:type="dxa"/>
            <w:noWrap w:val="0"/>
            <w:vAlign w:val="center"/>
          </w:tcPr>
          <w:p w14:paraId="398D947A">
            <w:pPr>
              <w:pStyle w:val="47"/>
              <w:numPr>
                <w:ilvl w:val="0"/>
                <w:numId w:val="0"/>
              </w:numPr>
              <w:spacing w:after="0" w:line="240" w:lineRule="auto"/>
              <w:jc w:val="center"/>
              <w:rPr>
                <w:rFonts w:hint="default" w:ascii="宋体" w:hAnsi="宋体" w:eastAsia="宋体" w:cs="宋体"/>
                <w:b/>
                <w:bCs/>
                <w:kern w:val="0"/>
                <w:sz w:val="24"/>
                <w:szCs w:val="22"/>
                <w:vertAlign w:val="baseline"/>
                <w:lang w:val="en-US" w:eastAsia="zh-CN" w:bidi="ar-SA"/>
              </w:rPr>
            </w:pPr>
            <w:r>
              <w:rPr>
                <w:rFonts w:hint="eastAsia" w:ascii="宋体" w:hAnsi="宋体" w:eastAsia="宋体" w:cs="宋体"/>
                <w:b/>
                <w:bCs/>
                <w:kern w:val="0"/>
                <w:sz w:val="24"/>
                <w:szCs w:val="22"/>
                <w:vertAlign w:val="baseline"/>
                <w:lang w:val="en-US" w:eastAsia="zh-CN" w:bidi="ar-SA"/>
              </w:rPr>
              <w:t>名称</w:t>
            </w:r>
          </w:p>
        </w:tc>
        <w:tc>
          <w:tcPr>
            <w:tcW w:w="1617" w:type="dxa"/>
            <w:noWrap w:val="0"/>
            <w:vAlign w:val="center"/>
          </w:tcPr>
          <w:p w14:paraId="411071D0">
            <w:pPr>
              <w:pStyle w:val="47"/>
              <w:numPr>
                <w:ilvl w:val="0"/>
                <w:numId w:val="0"/>
              </w:numPr>
              <w:spacing w:after="0" w:line="240" w:lineRule="auto"/>
              <w:jc w:val="center"/>
              <w:rPr>
                <w:rFonts w:hint="default" w:ascii="宋体" w:hAnsi="宋体" w:eastAsia="宋体" w:cs="宋体"/>
                <w:b/>
                <w:bCs/>
                <w:kern w:val="0"/>
                <w:sz w:val="24"/>
                <w:szCs w:val="22"/>
                <w:vertAlign w:val="baseline"/>
                <w:lang w:val="en-US" w:eastAsia="zh-CN" w:bidi="ar-SA"/>
              </w:rPr>
            </w:pPr>
            <w:r>
              <w:rPr>
                <w:rFonts w:hint="eastAsia" w:ascii="宋体" w:hAnsi="宋体" w:eastAsia="宋体" w:cs="宋体"/>
                <w:b/>
                <w:bCs/>
                <w:kern w:val="0"/>
                <w:sz w:val="24"/>
                <w:szCs w:val="22"/>
                <w:vertAlign w:val="baseline"/>
                <w:lang w:val="en-US" w:eastAsia="zh-CN" w:bidi="ar-SA"/>
              </w:rPr>
              <w:t>规格</w:t>
            </w:r>
          </w:p>
        </w:tc>
        <w:tc>
          <w:tcPr>
            <w:tcW w:w="5016" w:type="dxa"/>
            <w:noWrap w:val="0"/>
            <w:vAlign w:val="center"/>
          </w:tcPr>
          <w:p w14:paraId="13FD4CB8">
            <w:pPr>
              <w:pStyle w:val="47"/>
              <w:numPr>
                <w:ilvl w:val="0"/>
                <w:numId w:val="0"/>
              </w:numPr>
              <w:spacing w:after="0" w:line="240" w:lineRule="auto"/>
              <w:jc w:val="center"/>
              <w:rPr>
                <w:rFonts w:hint="default" w:ascii="宋体" w:hAnsi="宋体" w:eastAsia="宋体" w:cs="宋体"/>
                <w:b/>
                <w:bCs/>
                <w:kern w:val="0"/>
                <w:sz w:val="24"/>
                <w:szCs w:val="22"/>
                <w:vertAlign w:val="baseline"/>
                <w:lang w:val="en-US" w:eastAsia="zh-CN" w:bidi="ar-SA"/>
              </w:rPr>
            </w:pPr>
            <w:r>
              <w:rPr>
                <w:rFonts w:hint="eastAsia" w:ascii="宋体" w:hAnsi="宋体" w:eastAsia="宋体" w:cs="宋体"/>
                <w:b/>
                <w:bCs/>
                <w:kern w:val="0"/>
                <w:sz w:val="24"/>
                <w:szCs w:val="22"/>
                <w:vertAlign w:val="baseline"/>
                <w:lang w:val="en-US" w:eastAsia="zh-CN" w:bidi="ar-SA"/>
              </w:rPr>
              <w:t>技术参数</w:t>
            </w:r>
          </w:p>
        </w:tc>
        <w:tc>
          <w:tcPr>
            <w:tcW w:w="750" w:type="dxa"/>
            <w:noWrap w:val="0"/>
            <w:vAlign w:val="center"/>
          </w:tcPr>
          <w:p w14:paraId="4EA700BC">
            <w:pPr>
              <w:pStyle w:val="47"/>
              <w:numPr>
                <w:ilvl w:val="0"/>
                <w:numId w:val="0"/>
              </w:numPr>
              <w:spacing w:after="0" w:line="240" w:lineRule="auto"/>
              <w:jc w:val="center"/>
              <w:rPr>
                <w:rFonts w:hint="default" w:ascii="宋体" w:hAnsi="宋体" w:eastAsia="宋体" w:cs="宋体"/>
                <w:b/>
                <w:bCs/>
                <w:kern w:val="0"/>
                <w:sz w:val="24"/>
                <w:szCs w:val="22"/>
                <w:vertAlign w:val="baseline"/>
                <w:lang w:val="en-US" w:eastAsia="zh-CN" w:bidi="ar-SA"/>
              </w:rPr>
            </w:pPr>
            <w:r>
              <w:rPr>
                <w:rFonts w:hint="eastAsia" w:ascii="宋体" w:hAnsi="宋体" w:cs="宋体"/>
                <w:b/>
                <w:bCs/>
                <w:kern w:val="0"/>
                <w:sz w:val="24"/>
                <w:szCs w:val="22"/>
                <w:vertAlign w:val="baseline"/>
                <w:lang w:val="en-US" w:eastAsia="zh-CN" w:bidi="ar-SA"/>
              </w:rPr>
              <w:t>品牌</w:t>
            </w:r>
          </w:p>
        </w:tc>
        <w:tc>
          <w:tcPr>
            <w:tcW w:w="750" w:type="dxa"/>
            <w:noWrap w:val="0"/>
            <w:vAlign w:val="center"/>
          </w:tcPr>
          <w:p w14:paraId="66D8C62B">
            <w:pPr>
              <w:pStyle w:val="47"/>
              <w:numPr>
                <w:ilvl w:val="0"/>
                <w:numId w:val="0"/>
              </w:numPr>
              <w:spacing w:after="0" w:line="240" w:lineRule="auto"/>
              <w:jc w:val="center"/>
              <w:rPr>
                <w:rFonts w:hint="default" w:ascii="宋体" w:hAnsi="宋体" w:eastAsia="宋体" w:cs="宋体"/>
                <w:b/>
                <w:bCs/>
                <w:kern w:val="0"/>
                <w:sz w:val="24"/>
                <w:szCs w:val="22"/>
                <w:vertAlign w:val="baseline"/>
                <w:lang w:val="en-US" w:eastAsia="zh-CN" w:bidi="ar-SA"/>
              </w:rPr>
            </w:pPr>
            <w:r>
              <w:rPr>
                <w:rFonts w:hint="eastAsia" w:ascii="宋体" w:hAnsi="宋体" w:eastAsia="宋体" w:cs="宋体"/>
                <w:b/>
                <w:bCs/>
                <w:kern w:val="0"/>
                <w:sz w:val="24"/>
                <w:szCs w:val="22"/>
                <w:vertAlign w:val="baseline"/>
                <w:lang w:val="en-US" w:eastAsia="zh-CN" w:bidi="ar-SA"/>
              </w:rPr>
              <w:t>数量</w:t>
            </w:r>
          </w:p>
        </w:tc>
        <w:tc>
          <w:tcPr>
            <w:tcW w:w="840" w:type="dxa"/>
            <w:noWrap w:val="0"/>
            <w:vAlign w:val="center"/>
          </w:tcPr>
          <w:p w14:paraId="7F164F73">
            <w:pPr>
              <w:pStyle w:val="47"/>
              <w:numPr>
                <w:ilvl w:val="0"/>
                <w:numId w:val="0"/>
              </w:numPr>
              <w:spacing w:after="0" w:line="240" w:lineRule="auto"/>
              <w:jc w:val="center"/>
              <w:rPr>
                <w:rFonts w:hint="default" w:ascii="宋体" w:hAnsi="宋体" w:eastAsia="宋体" w:cs="宋体"/>
                <w:b/>
                <w:bCs/>
                <w:kern w:val="0"/>
                <w:sz w:val="24"/>
                <w:szCs w:val="22"/>
                <w:vertAlign w:val="baseline"/>
                <w:lang w:val="en-US" w:eastAsia="zh-CN" w:bidi="ar-SA"/>
              </w:rPr>
            </w:pPr>
            <w:r>
              <w:rPr>
                <w:rFonts w:hint="eastAsia" w:ascii="宋体" w:hAnsi="宋体" w:eastAsia="宋体" w:cs="宋体"/>
                <w:b/>
                <w:bCs/>
                <w:kern w:val="0"/>
                <w:sz w:val="24"/>
                <w:szCs w:val="22"/>
                <w:vertAlign w:val="baseline"/>
                <w:lang w:val="en-US" w:eastAsia="zh-CN" w:bidi="ar-SA"/>
              </w:rPr>
              <w:t>单位</w:t>
            </w:r>
          </w:p>
        </w:tc>
      </w:tr>
      <w:tr w14:paraId="5ACFA7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5" w:hRule="atLeast"/>
        </w:trPr>
        <w:tc>
          <w:tcPr>
            <w:tcW w:w="1083" w:type="dxa"/>
            <w:noWrap w:val="0"/>
            <w:vAlign w:val="center"/>
          </w:tcPr>
          <w:p w14:paraId="6B4E161B">
            <w:pPr>
              <w:pStyle w:val="47"/>
              <w:numPr>
                <w:ilvl w:val="0"/>
                <w:numId w:val="0"/>
              </w:numPr>
              <w:spacing w:after="0" w:line="240" w:lineRule="auto"/>
              <w:jc w:val="center"/>
              <w:rPr>
                <w:rFonts w:hint="eastAsia" w:ascii="宋体" w:hAnsi="宋体" w:eastAsia="宋体" w:cs="宋体"/>
                <w:color w:val="auto"/>
                <w:kern w:val="0"/>
                <w:sz w:val="24"/>
                <w:szCs w:val="22"/>
                <w:vertAlign w:val="baseline"/>
                <w:lang w:val="en-US" w:eastAsia="zh-CN" w:bidi="ar-SA"/>
              </w:rPr>
            </w:pPr>
            <w:r>
              <w:rPr>
                <w:rFonts w:hint="eastAsia" w:ascii="宋体" w:hAnsi="宋体" w:eastAsia="宋体" w:cs="宋体"/>
                <w:color w:val="auto"/>
                <w:kern w:val="0"/>
                <w:sz w:val="24"/>
                <w:szCs w:val="22"/>
                <w:vertAlign w:val="baseline"/>
                <w:lang w:val="en-US" w:eastAsia="zh-CN" w:bidi="ar-SA"/>
              </w:rPr>
              <w:t>殡仪</w:t>
            </w:r>
          </w:p>
          <w:p w14:paraId="6C9FCA11">
            <w:pPr>
              <w:pStyle w:val="47"/>
              <w:numPr>
                <w:ilvl w:val="0"/>
                <w:numId w:val="0"/>
              </w:numPr>
              <w:spacing w:after="0" w:line="240" w:lineRule="auto"/>
              <w:jc w:val="center"/>
              <w:rPr>
                <w:rFonts w:hint="default" w:ascii="宋体" w:hAnsi="宋体" w:eastAsia="宋体" w:cs="宋体"/>
                <w:color w:val="auto"/>
                <w:kern w:val="0"/>
                <w:sz w:val="24"/>
                <w:szCs w:val="22"/>
                <w:vertAlign w:val="baseline"/>
                <w:lang w:val="en-US" w:eastAsia="zh-CN" w:bidi="ar-SA"/>
              </w:rPr>
            </w:pPr>
            <w:r>
              <w:rPr>
                <w:rFonts w:hint="eastAsia" w:ascii="宋体" w:hAnsi="宋体" w:eastAsia="宋体" w:cs="宋体"/>
                <w:color w:val="auto"/>
                <w:kern w:val="0"/>
                <w:sz w:val="24"/>
                <w:szCs w:val="22"/>
                <w:vertAlign w:val="baseline"/>
                <w:lang w:val="en-US" w:eastAsia="zh-CN" w:bidi="ar-SA"/>
              </w:rPr>
              <w:t>车</w:t>
            </w:r>
            <w:r>
              <w:rPr>
                <w:rFonts w:hint="eastAsia" w:ascii="宋体" w:hAnsi="宋体" w:cs="宋体"/>
                <w:color w:val="auto"/>
                <w:kern w:val="0"/>
                <w:sz w:val="24"/>
                <w:szCs w:val="22"/>
                <w:vertAlign w:val="baseline"/>
                <w:lang w:val="en-US" w:eastAsia="zh-CN" w:bidi="ar-SA"/>
              </w:rPr>
              <w:t>（柴油车）</w:t>
            </w:r>
          </w:p>
        </w:tc>
        <w:tc>
          <w:tcPr>
            <w:tcW w:w="1617" w:type="dxa"/>
            <w:noWrap w:val="0"/>
            <w:vAlign w:val="center"/>
          </w:tcPr>
          <w:p w14:paraId="7BCF0323">
            <w:pPr>
              <w:keepNext w:val="0"/>
              <w:keepLines w:val="0"/>
              <w:pageBreakBefore w:val="0"/>
              <w:widowControl/>
              <w:kinsoku/>
              <w:wordWrap/>
              <w:overflowPunct/>
              <w:topLinePunct w:val="0"/>
              <w:autoSpaceDE/>
              <w:autoSpaceDN/>
              <w:bidi w:val="0"/>
              <w:adjustRightInd/>
              <w:snapToGrid/>
              <w:spacing w:after="0" w:line="240" w:lineRule="auto"/>
              <w:jc w:val="center"/>
              <w:textAlignment w:val="auto"/>
              <w:rPr>
                <w:rFonts w:hint="default" w:ascii="宋体" w:hAnsi="宋体" w:eastAsia="宋体" w:cs="宋体"/>
                <w:color w:val="auto"/>
                <w:kern w:val="0"/>
                <w:sz w:val="24"/>
                <w:szCs w:val="22"/>
                <w:lang w:val="en-US" w:eastAsia="zh-CN" w:bidi="ar-SA"/>
              </w:rPr>
            </w:pPr>
            <w:r>
              <w:rPr>
                <w:rFonts w:hint="eastAsia" w:ascii="宋体" w:hAnsi="宋体" w:eastAsia="宋体" w:cs="宋体"/>
                <w:color w:val="auto"/>
                <w:kern w:val="0"/>
                <w:sz w:val="24"/>
                <w:szCs w:val="22"/>
                <w:lang w:val="en-US" w:eastAsia="zh-Hans" w:bidi="ar-SA"/>
              </w:rPr>
              <w:t>长×宽×高（mm）：5</w:t>
            </w:r>
            <w:r>
              <w:rPr>
                <w:rFonts w:hint="eastAsia" w:ascii="宋体" w:hAnsi="宋体" w:eastAsia="宋体" w:cs="宋体"/>
                <w:color w:val="auto"/>
                <w:kern w:val="0"/>
                <w:sz w:val="24"/>
                <w:szCs w:val="22"/>
                <w:lang w:val="en-US" w:eastAsia="zh-CN" w:bidi="ar-SA"/>
              </w:rPr>
              <w:t>400</w:t>
            </w:r>
            <w:r>
              <w:rPr>
                <w:rFonts w:hint="eastAsia" w:ascii="宋体" w:hAnsi="宋体" w:eastAsia="宋体" w:cs="宋体"/>
                <w:color w:val="auto"/>
                <w:kern w:val="0"/>
                <w:sz w:val="24"/>
                <w:szCs w:val="22"/>
                <w:lang w:val="en-US" w:eastAsia="zh-Hans" w:bidi="ar-SA"/>
              </w:rPr>
              <w:t>×1920×2285</w:t>
            </w:r>
            <w:r>
              <w:rPr>
                <w:rFonts w:hint="eastAsia" w:ascii="宋体" w:hAnsi="宋体" w:cs="宋体"/>
                <w:color w:val="auto"/>
                <w:kern w:val="0"/>
                <w:sz w:val="24"/>
                <w:szCs w:val="22"/>
                <w:lang w:val="en-US" w:eastAsia="zh-CN" w:bidi="ar-SA"/>
              </w:rPr>
              <w:t>（小于等于其外形尺寸）</w:t>
            </w:r>
          </w:p>
          <w:p w14:paraId="3FA9D077">
            <w:pPr>
              <w:pStyle w:val="47"/>
              <w:numPr>
                <w:ilvl w:val="0"/>
                <w:numId w:val="0"/>
              </w:numPr>
              <w:spacing w:after="0" w:line="240" w:lineRule="auto"/>
              <w:jc w:val="center"/>
              <w:rPr>
                <w:rFonts w:hint="eastAsia" w:ascii="宋体" w:hAnsi="宋体" w:eastAsia="宋体" w:cs="宋体"/>
                <w:color w:val="auto"/>
                <w:kern w:val="0"/>
                <w:sz w:val="24"/>
                <w:szCs w:val="22"/>
                <w:vertAlign w:val="baseline"/>
                <w:lang w:val="en-US" w:eastAsia="zh-CN" w:bidi="ar-SA"/>
              </w:rPr>
            </w:pPr>
          </w:p>
        </w:tc>
        <w:tc>
          <w:tcPr>
            <w:tcW w:w="5016" w:type="dxa"/>
            <w:noWrap w:val="0"/>
            <w:vAlign w:val="center"/>
          </w:tcPr>
          <w:p w14:paraId="28D5AC4E">
            <w:pPr>
              <w:keepNext w:val="0"/>
              <w:keepLines w:val="0"/>
              <w:widowControl/>
              <w:numPr>
                <w:ilvl w:val="0"/>
                <w:numId w:val="9"/>
              </w:numPr>
              <w:suppressLineNumbers w:val="0"/>
              <w:spacing w:after="0" w:line="240" w:lineRule="auto"/>
              <w:jc w:val="left"/>
              <w:rPr>
                <w:rFonts w:hint="default" w:ascii="Calibri" w:hAnsi="Calibri" w:eastAsia="宋体" w:cs="Calibri"/>
                <w:color w:val="000000"/>
                <w:kern w:val="0"/>
                <w:sz w:val="24"/>
                <w:szCs w:val="24"/>
                <w:lang w:val="en-US" w:eastAsia="zh-CN" w:bidi="ar"/>
              </w:rPr>
            </w:pPr>
            <w:r>
              <w:rPr>
                <w:rFonts w:hint="eastAsia" w:ascii="宋体" w:hAnsi="宋体" w:eastAsia="宋体" w:cs="宋体"/>
                <w:color w:val="000000"/>
                <w:kern w:val="0"/>
                <w:sz w:val="24"/>
                <w:szCs w:val="24"/>
                <w:lang w:val="en-US" w:eastAsia="zh-CN" w:bidi="ar"/>
              </w:rPr>
              <w:t>排量；</w:t>
            </w:r>
            <w:r>
              <w:rPr>
                <w:rFonts w:hint="eastAsia" w:ascii="宋体" w:hAnsi="宋体" w:cs="宋体"/>
                <w:color w:val="000000"/>
                <w:kern w:val="0"/>
                <w:sz w:val="24"/>
                <w:szCs w:val="24"/>
                <w:lang w:val="en-US" w:eastAsia="zh-CN" w:bidi="ar"/>
              </w:rPr>
              <w:t>不低于</w:t>
            </w:r>
            <w:r>
              <w:rPr>
                <w:rFonts w:hint="eastAsia" w:ascii="Calibri" w:hAnsi="Calibri" w:cs="Calibri"/>
                <w:color w:val="000000"/>
                <w:kern w:val="0"/>
                <w:sz w:val="24"/>
                <w:szCs w:val="24"/>
                <w:lang w:val="en-US" w:eastAsia="zh-CN" w:bidi="ar"/>
              </w:rPr>
              <w:t>2200</w:t>
            </w:r>
            <w:r>
              <w:rPr>
                <w:rFonts w:hint="default" w:ascii="Calibri" w:hAnsi="Calibri" w:eastAsia="宋体" w:cs="Calibri"/>
                <w:color w:val="000000"/>
                <w:kern w:val="0"/>
                <w:sz w:val="24"/>
                <w:szCs w:val="24"/>
                <w:lang w:val="en-US" w:eastAsia="zh-CN" w:bidi="ar"/>
              </w:rPr>
              <w:t xml:space="preserve">ml </w:t>
            </w:r>
          </w:p>
          <w:p w14:paraId="0580AD68">
            <w:pPr>
              <w:keepNext w:val="0"/>
              <w:keepLines w:val="0"/>
              <w:widowControl/>
              <w:numPr>
                <w:ilvl w:val="0"/>
                <w:numId w:val="9"/>
              </w:numPr>
              <w:suppressLineNumbers w:val="0"/>
              <w:spacing w:after="0" w:line="240" w:lineRule="auto"/>
              <w:jc w:val="left"/>
              <w:rPr>
                <w:rFonts w:hint="default" w:ascii="Calibri" w:hAnsi="Calibri" w:eastAsia="宋体" w:cs="Calibri"/>
                <w:color w:val="000000"/>
                <w:kern w:val="0"/>
                <w:sz w:val="24"/>
                <w:szCs w:val="24"/>
                <w:lang w:val="en-US" w:eastAsia="zh-CN" w:bidi="ar"/>
              </w:rPr>
            </w:pPr>
            <w:r>
              <w:rPr>
                <w:rFonts w:hint="eastAsia" w:ascii="宋体" w:hAnsi="宋体" w:eastAsia="宋体" w:cs="宋体"/>
                <w:color w:val="000000"/>
                <w:kern w:val="0"/>
                <w:sz w:val="24"/>
                <w:szCs w:val="24"/>
                <w:lang w:val="en-US" w:eastAsia="zh-CN" w:bidi="ar"/>
              </w:rPr>
              <w:t>功率：</w:t>
            </w:r>
            <w:r>
              <w:rPr>
                <w:rFonts w:hint="eastAsia" w:ascii="宋体" w:hAnsi="宋体" w:cs="宋体"/>
                <w:color w:val="000000"/>
                <w:kern w:val="0"/>
                <w:sz w:val="24"/>
                <w:szCs w:val="24"/>
                <w:highlight w:val="none"/>
                <w:lang w:val="en-US" w:eastAsia="zh-CN" w:bidi="ar"/>
              </w:rPr>
              <w:t xml:space="preserve">不低于88 </w:t>
            </w:r>
            <w:r>
              <w:rPr>
                <w:rFonts w:hint="default" w:ascii="Calibri" w:hAnsi="Calibri" w:eastAsia="宋体" w:cs="Calibri"/>
                <w:color w:val="000000"/>
                <w:kern w:val="0"/>
                <w:sz w:val="24"/>
                <w:szCs w:val="24"/>
                <w:highlight w:val="none"/>
                <w:lang w:val="en-US" w:eastAsia="zh-CN" w:bidi="ar"/>
              </w:rPr>
              <w:t>kw</w:t>
            </w:r>
          </w:p>
          <w:p w14:paraId="1C36536A">
            <w:pPr>
              <w:keepNext w:val="0"/>
              <w:keepLines w:val="0"/>
              <w:widowControl/>
              <w:numPr>
                <w:ilvl w:val="0"/>
                <w:numId w:val="0"/>
              </w:numPr>
              <w:suppressLineNumbers w:val="0"/>
              <w:spacing w:after="0" w:line="240" w:lineRule="auto"/>
              <w:jc w:val="left"/>
              <w:rPr>
                <w:rFonts w:hint="eastAsia" w:ascii="宋体" w:hAnsi="宋体" w:eastAsia="宋体" w:cs="宋体"/>
                <w:color w:val="auto"/>
                <w:kern w:val="0"/>
                <w:sz w:val="21"/>
                <w:szCs w:val="21"/>
                <w:lang w:val="en-US" w:eastAsia="zh-CN" w:bidi="ar-SA"/>
              </w:rPr>
            </w:pPr>
            <w:r>
              <w:rPr>
                <w:rFonts w:hint="eastAsia" w:ascii="宋体" w:hAnsi="宋体" w:eastAsia="宋体" w:cs="宋体"/>
                <w:color w:val="000000"/>
                <w:kern w:val="0"/>
                <w:sz w:val="24"/>
                <w:szCs w:val="24"/>
                <w:lang w:val="en-US" w:eastAsia="zh-CN" w:bidi="ar"/>
              </w:rPr>
              <w:t>排放标准：</w:t>
            </w:r>
            <w:r>
              <w:rPr>
                <w:rFonts w:hint="eastAsia" w:ascii="宋体" w:hAnsi="宋体" w:cs="宋体"/>
                <w:color w:val="000000"/>
                <w:kern w:val="0"/>
                <w:sz w:val="24"/>
                <w:szCs w:val="24"/>
                <w:lang w:val="en-US" w:eastAsia="zh-CN" w:bidi="ar"/>
              </w:rPr>
              <w:t>满足国家最新排放标准</w:t>
            </w:r>
            <w:r>
              <w:rPr>
                <w:rFonts w:hint="default" w:ascii="Calibri" w:hAnsi="Calibri" w:eastAsia="宋体" w:cs="Calibri"/>
                <w:color w:val="000000"/>
                <w:kern w:val="0"/>
                <w:sz w:val="24"/>
                <w:szCs w:val="24"/>
                <w:lang w:val="en-US" w:eastAsia="zh-CN" w:bidi="ar"/>
              </w:rPr>
              <w:t xml:space="preserve"> </w:t>
            </w:r>
            <w:r>
              <w:rPr>
                <w:rFonts w:hint="eastAsia" w:ascii="宋体" w:hAnsi="宋体" w:eastAsia="宋体" w:cs="宋体"/>
                <w:color w:val="auto"/>
                <w:kern w:val="0"/>
                <w:sz w:val="21"/>
                <w:szCs w:val="21"/>
                <w:lang w:val="en-US" w:eastAsia="zh-CN" w:bidi="ar-SA"/>
              </w:rPr>
              <w:t xml:space="preserve">                  </w:t>
            </w:r>
          </w:p>
          <w:p w14:paraId="3F32751A">
            <w:pPr>
              <w:pStyle w:val="230"/>
              <w:keepNext w:val="0"/>
              <w:keepLines w:val="0"/>
              <w:pageBreakBefore w:val="0"/>
              <w:widowControl w:val="0"/>
              <w:numPr>
                <w:ilvl w:val="0"/>
                <w:numId w:val="9"/>
              </w:numPr>
              <w:kinsoku/>
              <w:wordWrap/>
              <w:overflowPunct/>
              <w:topLinePunct w:val="0"/>
              <w:autoSpaceDE/>
              <w:autoSpaceDN/>
              <w:bidi w:val="0"/>
              <w:adjustRightInd/>
              <w:snapToGrid/>
              <w:spacing w:after="0" w:line="240" w:lineRule="auto"/>
              <w:ind w:left="0" w:leftChars="0" w:firstLine="0" w:firstLineChars="0"/>
              <w:jc w:val="left"/>
              <w:textAlignment w:val="auto"/>
              <w:rPr>
                <w:rFonts w:hint="eastAsia" w:ascii="宋体" w:hAnsi="宋体" w:eastAsia="宋体" w:cs="宋体"/>
                <w:color w:val="auto"/>
                <w:kern w:val="0"/>
                <w:sz w:val="24"/>
                <w:szCs w:val="22"/>
                <w:lang w:val="en-US" w:eastAsia="zh-CN" w:bidi="ar-SA"/>
              </w:rPr>
            </w:pPr>
            <w:r>
              <w:rPr>
                <w:rFonts w:hint="eastAsia" w:ascii="宋体" w:hAnsi="宋体" w:eastAsia="宋体" w:cs="宋体"/>
                <w:color w:val="auto"/>
                <w:kern w:val="0"/>
                <w:sz w:val="24"/>
                <w:szCs w:val="22"/>
                <w:lang w:val="en-US" w:eastAsia="zh-Hans" w:bidi="ar-SA"/>
              </w:rPr>
              <w:t>荷载人数：5人(</w:t>
            </w:r>
            <w:r>
              <w:rPr>
                <w:rFonts w:hint="eastAsia" w:ascii="宋体" w:hAnsi="宋体" w:eastAsia="宋体" w:cs="宋体"/>
                <w:color w:val="auto"/>
                <w:kern w:val="0"/>
                <w:sz w:val="24"/>
                <w:szCs w:val="22"/>
                <w:lang w:val="en-US" w:eastAsia="zh-CN" w:bidi="ar-SA"/>
              </w:rPr>
              <w:t>合格证为</w:t>
            </w:r>
            <w:r>
              <w:rPr>
                <w:rFonts w:hint="eastAsia" w:ascii="宋体" w:hAnsi="宋体" w:eastAsia="宋体" w:cs="宋体"/>
                <w:color w:val="auto"/>
                <w:kern w:val="0"/>
                <w:sz w:val="24"/>
                <w:szCs w:val="22"/>
                <w:lang w:val="en-US" w:eastAsia="zh-Hans" w:bidi="ar-SA"/>
              </w:rPr>
              <w:t>5人)</w:t>
            </w:r>
            <w:r>
              <w:rPr>
                <w:rFonts w:hint="eastAsia" w:ascii="宋体" w:hAnsi="宋体" w:eastAsia="宋体" w:cs="宋体"/>
                <w:color w:val="auto"/>
                <w:kern w:val="0"/>
                <w:sz w:val="24"/>
                <w:szCs w:val="22"/>
                <w:lang w:val="en-US" w:eastAsia="zh-CN" w:bidi="ar-SA"/>
              </w:rPr>
              <w:t>；</w:t>
            </w:r>
          </w:p>
          <w:p w14:paraId="37A16775">
            <w:pPr>
              <w:pStyle w:val="230"/>
              <w:keepNext w:val="0"/>
              <w:keepLines w:val="0"/>
              <w:pageBreakBefore w:val="0"/>
              <w:widowControl w:val="0"/>
              <w:numPr>
                <w:ilvl w:val="0"/>
                <w:numId w:val="9"/>
              </w:numPr>
              <w:kinsoku/>
              <w:wordWrap/>
              <w:overflowPunct/>
              <w:topLinePunct w:val="0"/>
              <w:autoSpaceDE/>
              <w:autoSpaceDN/>
              <w:bidi w:val="0"/>
              <w:adjustRightInd/>
              <w:snapToGrid/>
              <w:spacing w:after="0" w:line="240" w:lineRule="auto"/>
              <w:ind w:left="0" w:leftChars="0" w:firstLine="0" w:firstLineChars="0"/>
              <w:jc w:val="left"/>
              <w:textAlignment w:val="auto"/>
              <w:rPr>
                <w:rFonts w:hint="eastAsia" w:ascii="宋体" w:hAnsi="宋体" w:eastAsia="宋体" w:cs="宋体"/>
                <w:color w:val="auto"/>
                <w:kern w:val="0"/>
                <w:sz w:val="24"/>
                <w:szCs w:val="22"/>
                <w:lang w:val="en-US" w:eastAsia="zh-CN" w:bidi="ar-SA"/>
              </w:rPr>
            </w:pPr>
            <w:r>
              <w:rPr>
                <w:rFonts w:hint="eastAsia" w:cs="宋体"/>
                <w:color w:val="auto"/>
                <w:kern w:val="0"/>
                <w:sz w:val="24"/>
                <w:szCs w:val="22"/>
                <w:lang w:val="en-US" w:eastAsia="zh-CN" w:bidi="ar-SA"/>
              </w:rPr>
              <w:t>布局采取为前二后三平行布局，后段采取密封式布局，密封仓布局长度不低于2.2米。</w:t>
            </w:r>
            <w:r>
              <w:rPr>
                <w:rFonts w:hint="eastAsia" w:ascii="宋体" w:hAnsi="宋体" w:eastAsia="宋体" w:cs="宋体"/>
                <w:color w:val="auto"/>
                <w:kern w:val="0"/>
                <w:sz w:val="24"/>
                <w:szCs w:val="22"/>
                <w:lang w:val="en-US" w:eastAsia="zh-CN" w:bidi="ar-SA"/>
              </w:rPr>
              <w:t xml:space="preserve">        </w:t>
            </w:r>
          </w:p>
          <w:p w14:paraId="7D8B1483">
            <w:pPr>
              <w:pStyle w:val="230"/>
              <w:keepNext w:val="0"/>
              <w:keepLines w:val="0"/>
              <w:pageBreakBefore w:val="0"/>
              <w:widowControl w:val="0"/>
              <w:numPr>
                <w:ilvl w:val="0"/>
                <w:numId w:val="9"/>
              </w:numPr>
              <w:kinsoku/>
              <w:wordWrap/>
              <w:overflowPunct/>
              <w:topLinePunct w:val="0"/>
              <w:autoSpaceDE/>
              <w:autoSpaceDN/>
              <w:bidi w:val="0"/>
              <w:adjustRightInd/>
              <w:snapToGrid/>
              <w:spacing w:after="0" w:line="240" w:lineRule="auto"/>
              <w:ind w:left="0" w:leftChars="0" w:firstLine="0" w:firstLineChars="0"/>
              <w:jc w:val="left"/>
              <w:textAlignment w:val="auto"/>
              <w:rPr>
                <w:rFonts w:hint="eastAsia" w:ascii="宋体" w:hAnsi="宋体" w:eastAsia="宋体" w:cs="宋体"/>
                <w:color w:val="auto"/>
                <w:kern w:val="0"/>
                <w:sz w:val="24"/>
                <w:szCs w:val="22"/>
                <w:lang w:val="en-US" w:eastAsia="zh-CN" w:bidi="ar-SA"/>
              </w:rPr>
            </w:pPr>
            <w:r>
              <w:rPr>
                <w:rFonts w:hint="eastAsia" w:ascii="宋体" w:hAnsi="宋体" w:eastAsia="宋体" w:cs="宋体"/>
                <w:color w:val="auto"/>
                <w:kern w:val="0"/>
                <w:sz w:val="24"/>
                <w:szCs w:val="22"/>
                <w:lang w:val="en-US" w:eastAsia="zh-CN" w:bidi="ar-SA"/>
              </w:rPr>
              <w:t xml:space="preserve">转向方式：方向盘 </w:t>
            </w:r>
          </w:p>
          <w:p w14:paraId="318E6F8E">
            <w:pPr>
              <w:pStyle w:val="230"/>
              <w:widowControl w:val="0"/>
              <w:numPr>
                <w:ilvl w:val="0"/>
                <w:numId w:val="0"/>
              </w:numPr>
              <w:spacing w:after="0"/>
              <w:ind w:leftChars="0"/>
              <w:jc w:val="left"/>
              <w:rPr>
                <w:rFonts w:hint="eastAsia" w:ascii="宋体" w:hAnsi="宋体" w:eastAsia="宋体" w:cs="宋体"/>
                <w:color w:val="auto"/>
                <w:kern w:val="0"/>
                <w:sz w:val="24"/>
                <w:szCs w:val="22"/>
                <w:vertAlign w:val="baseline"/>
                <w:lang w:val="en-US" w:eastAsia="zh-CN" w:bidi="ar-SA"/>
              </w:rPr>
            </w:pPr>
            <w:r>
              <w:rPr>
                <w:rFonts w:hint="eastAsia" w:ascii="宋体" w:hAnsi="宋体" w:eastAsia="宋体" w:cs="宋体"/>
                <w:color w:val="auto"/>
                <w:kern w:val="0"/>
                <w:sz w:val="24"/>
                <w:szCs w:val="22"/>
                <w:lang w:val="en-US" w:eastAsia="zh-CN" w:bidi="ar-SA"/>
              </w:rPr>
              <w:t xml:space="preserve">               </w:t>
            </w:r>
          </w:p>
        </w:tc>
        <w:tc>
          <w:tcPr>
            <w:tcW w:w="750" w:type="dxa"/>
            <w:noWrap w:val="0"/>
            <w:vAlign w:val="center"/>
          </w:tcPr>
          <w:p w14:paraId="1C74B409">
            <w:pPr>
              <w:pStyle w:val="47"/>
              <w:numPr>
                <w:ilvl w:val="0"/>
                <w:numId w:val="0"/>
              </w:numPr>
              <w:spacing w:after="0" w:line="240" w:lineRule="auto"/>
              <w:jc w:val="center"/>
              <w:rPr>
                <w:rFonts w:hint="eastAsia" w:ascii="宋体" w:hAnsi="宋体" w:cs="宋体"/>
                <w:color w:val="auto"/>
                <w:kern w:val="0"/>
                <w:sz w:val="24"/>
                <w:szCs w:val="22"/>
                <w:vertAlign w:val="baseline"/>
                <w:lang w:val="en-US" w:eastAsia="zh-CN" w:bidi="ar-SA"/>
              </w:rPr>
            </w:pPr>
          </w:p>
        </w:tc>
        <w:tc>
          <w:tcPr>
            <w:tcW w:w="750" w:type="dxa"/>
            <w:noWrap w:val="0"/>
            <w:vAlign w:val="center"/>
          </w:tcPr>
          <w:p w14:paraId="739CF30B">
            <w:pPr>
              <w:pStyle w:val="47"/>
              <w:numPr>
                <w:ilvl w:val="0"/>
                <w:numId w:val="0"/>
              </w:numPr>
              <w:spacing w:after="0" w:line="240" w:lineRule="auto"/>
              <w:jc w:val="center"/>
              <w:rPr>
                <w:rFonts w:hint="default" w:ascii="宋体" w:hAnsi="宋体" w:eastAsia="宋体" w:cs="宋体"/>
                <w:color w:val="auto"/>
                <w:kern w:val="0"/>
                <w:sz w:val="24"/>
                <w:szCs w:val="22"/>
                <w:vertAlign w:val="baseline"/>
                <w:lang w:val="en-US" w:eastAsia="zh-CN" w:bidi="ar-SA"/>
              </w:rPr>
            </w:pPr>
            <w:r>
              <w:rPr>
                <w:rFonts w:hint="eastAsia" w:ascii="宋体" w:hAnsi="宋体" w:cs="宋体"/>
                <w:color w:val="auto"/>
                <w:kern w:val="0"/>
                <w:sz w:val="24"/>
                <w:szCs w:val="22"/>
                <w:vertAlign w:val="baseline"/>
                <w:lang w:val="en-US" w:eastAsia="zh-CN" w:bidi="ar-SA"/>
              </w:rPr>
              <w:t>3</w:t>
            </w:r>
          </w:p>
        </w:tc>
        <w:tc>
          <w:tcPr>
            <w:tcW w:w="840" w:type="dxa"/>
            <w:noWrap w:val="0"/>
            <w:vAlign w:val="center"/>
          </w:tcPr>
          <w:p w14:paraId="68F683A2">
            <w:pPr>
              <w:pStyle w:val="47"/>
              <w:numPr>
                <w:ilvl w:val="0"/>
                <w:numId w:val="0"/>
              </w:numPr>
              <w:spacing w:after="0" w:line="240" w:lineRule="auto"/>
              <w:jc w:val="center"/>
              <w:rPr>
                <w:rFonts w:hint="default" w:ascii="宋体" w:hAnsi="宋体" w:eastAsia="宋体" w:cs="宋体"/>
                <w:color w:val="auto"/>
                <w:kern w:val="0"/>
                <w:sz w:val="24"/>
                <w:szCs w:val="22"/>
                <w:vertAlign w:val="baseline"/>
                <w:lang w:val="en-US" w:eastAsia="zh-CN" w:bidi="ar-SA"/>
              </w:rPr>
            </w:pPr>
            <w:r>
              <w:rPr>
                <w:rFonts w:hint="eastAsia" w:ascii="宋体" w:hAnsi="宋体" w:eastAsia="宋体" w:cs="宋体"/>
                <w:color w:val="auto"/>
                <w:kern w:val="0"/>
                <w:sz w:val="24"/>
                <w:szCs w:val="22"/>
                <w:vertAlign w:val="baseline"/>
                <w:lang w:val="en-US" w:eastAsia="zh-CN" w:bidi="ar-SA"/>
              </w:rPr>
              <w:t>辆</w:t>
            </w:r>
          </w:p>
        </w:tc>
      </w:tr>
      <w:tr w14:paraId="72AA42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5" w:hRule="atLeast"/>
        </w:trPr>
        <w:tc>
          <w:tcPr>
            <w:tcW w:w="1083" w:type="dxa"/>
            <w:shd w:val="clear" w:color="auto" w:fill="auto"/>
            <w:noWrap w:val="0"/>
            <w:vAlign w:val="center"/>
          </w:tcPr>
          <w:p w14:paraId="0AC54982">
            <w:pPr>
              <w:pStyle w:val="47"/>
              <w:numPr>
                <w:ilvl w:val="0"/>
                <w:numId w:val="0"/>
              </w:numPr>
              <w:spacing w:after="0" w:line="240" w:lineRule="auto"/>
              <w:jc w:val="center"/>
              <w:rPr>
                <w:rFonts w:hint="eastAsia" w:ascii="宋体" w:hAnsi="宋体" w:eastAsia="宋体" w:cs="宋体"/>
                <w:color w:val="auto"/>
                <w:kern w:val="0"/>
                <w:sz w:val="24"/>
                <w:szCs w:val="22"/>
                <w:vertAlign w:val="baseline"/>
                <w:lang w:val="en-US" w:eastAsia="zh-CN" w:bidi="ar-SA"/>
              </w:rPr>
            </w:pPr>
            <w:r>
              <w:rPr>
                <w:rFonts w:hint="eastAsia" w:ascii="宋体" w:hAnsi="宋体" w:eastAsia="宋体" w:cs="宋体"/>
                <w:color w:val="auto"/>
                <w:kern w:val="0"/>
                <w:sz w:val="24"/>
                <w:szCs w:val="22"/>
                <w:vertAlign w:val="baseline"/>
                <w:lang w:val="en-US" w:eastAsia="zh-CN" w:bidi="ar-SA"/>
              </w:rPr>
              <w:t>殡仪</w:t>
            </w:r>
          </w:p>
          <w:p w14:paraId="21689347">
            <w:pPr>
              <w:pStyle w:val="47"/>
              <w:numPr>
                <w:ilvl w:val="0"/>
                <w:numId w:val="0"/>
              </w:numPr>
              <w:spacing w:after="0" w:line="240" w:lineRule="auto"/>
              <w:ind w:left="0" w:leftChars="0" w:firstLine="0" w:firstLineChars="0"/>
              <w:jc w:val="center"/>
              <w:rPr>
                <w:rFonts w:hint="eastAsia" w:ascii="宋体" w:hAnsi="宋体" w:eastAsia="宋体" w:cs="宋体"/>
                <w:color w:val="auto"/>
                <w:kern w:val="0"/>
                <w:sz w:val="24"/>
                <w:szCs w:val="22"/>
                <w:vertAlign w:val="baseline"/>
                <w:lang w:val="en-US" w:eastAsia="zh-CN" w:bidi="ar-SA"/>
              </w:rPr>
            </w:pPr>
            <w:r>
              <w:rPr>
                <w:rFonts w:hint="eastAsia" w:ascii="宋体" w:hAnsi="宋体" w:eastAsia="宋体" w:cs="宋体"/>
                <w:color w:val="auto"/>
                <w:kern w:val="0"/>
                <w:sz w:val="24"/>
                <w:szCs w:val="22"/>
                <w:vertAlign w:val="baseline"/>
                <w:lang w:val="en-US" w:eastAsia="zh-CN" w:bidi="ar-SA"/>
              </w:rPr>
              <w:t>车</w:t>
            </w:r>
            <w:r>
              <w:rPr>
                <w:rFonts w:hint="eastAsia" w:ascii="宋体" w:hAnsi="宋体" w:cs="宋体"/>
                <w:color w:val="auto"/>
                <w:kern w:val="0"/>
                <w:sz w:val="24"/>
                <w:szCs w:val="22"/>
                <w:vertAlign w:val="baseline"/>
                <w:lang w:val="en-US" w:eastAsia="zh-CN" w:bidi="ar-SA"/>
              </w:rPr>
              <w:t>（汽油车）</w:t>
            </w:r>
          </w:p>
        </w:tc>
        <w:tc>
          <w:tcPr>
            <w:tcW w:w="1617" w:type="dxa"/>
            <w:shd w:val="clear" w:color="auto" w:fill="auto"/>
            <w:noWrap w:val="0"/>
            <w:vAlign w:val="center"/>
          </w:tcPr>
          <w:p w14:paraId="7890C2D7">
            <w:pPr>
              <w:keepNext w:val="0"/>
              <w:keepLines w:val="0"/>
              <w:pageBreakBefore w:val="0"/>
              <w:widowControl/>
              <w:kinsoku/>
              <w:wordWrap/>
              <w:overflowPunct/>
              <w:topLinePunct w:val="0"/>
              <w:autoSpaceDE/>
              <w:autoSpaceDN/>
              <w:bidi w:val="0"/>
              <w:adjustRightInd/>
              <w:snapToGrid/>
              <w:spacing w:after="0" w:line="240" w:lineRule="auto"/>
              <w:jc w:val="center"/>
              <w:textAlignment w:val="auto"/>
              <w:rPr>
                <w:rFonts w:hint="default" w:ascii="宋体" w:hAnsi="宋体" w:eastAsia="宋体" w:cs="宋体"/>
                <w:color w:val="auto"/>
                <w:kern w:val="0"/>
                <w:sz w:val="24"/>
                <w:szCs w:val="22"/>
                <w:lang w:val="en-US" w:eastAsia="zh-CN" w:bidi="ar-SA"/>
              </w:rPr>
            </w:pPr>
            <w:r>
              <w:rPr>
                <w:rFonts w:hint="eastAsia" w:ascii="宋体" w:hAnsi="宋体" w:eastAsia="宋体" w:cs="宋体"/>
                <w:color w:val="auto"/>
                <w:kern w:val="0"/>
                <w:sz w:val="24"/>
                <w:szCs w:val="22"/>
                <w:lang w:val="en-US" w:eastAsia="zh-Hans" w:bidi="ar-SA"/>
              </w:rPr>
              <w:t>长×宽×高（mm）：5</w:t>
            </w:r>
            <w:r>
              <w:rPr>
                <w:rFonts w:hint="eastAsia" w:ascii="宋体" w:hAnsi="宋体" w:eastAsia="宋体" w:cs="宋体"/>
                <w:color w:val="auto"/>
                <w:kern w:val="0"/>
                <w:sz w:val="24"/>
                <w:szCs w:val="22"/>
                <w:lang w:val="en-US" w:eastAsia="zh-CN" w:bidi="ar-SA"/>
              </w:rPr>
              <w:t>400</w:t>
            </w:r>
            <w:r>
              <w:rPr>
                <w:rFonts w:hint="eastAsia" w:ascii="宋体" w:hAnsi="宋体" w:eastAsia="宋体" w:cs="宋体"/>
                <w:color w:val="auto"/>
                <w:kern w:val="0"/>
                <w:sz w:val="24"/>
                <w:szCs w:val="22"/>
                <w:lang w:val="en-US" w:eastAsia="zh-Hans" w:bidi="ar-SA"/>
              </w:rPr>
              <w:t>×1920×2285</w:t>
            </w:r>
            <w:r>
              <w:rPr>
                <w:rFonts w:hint="eastAsia" w:ascii="宋体" w:hAnsi="宋体" w:cs="宋体"/>
                <w:color w:val="auto"/>
                <w:kern w:val="0"/>
                <w:sz w:val="24"/>
                <w:szCs w:val="22"/>
                <w:lang w:val="en-US" w:eastAsia="zh-CN" w:bidi="ar-SA"/>
              </w:rPr>
              <w:t>（小于等于其外形尺寸）</w:t>
            </w:r>
          </w:p>
          <w:p w14:paraId="2DA94EF7">
            <w:pPr>
              <w:pStyle w:val="47"/>
              <w:numPr>
                <w:ilvl w:val="0"/>
                <w:numId w:val="0"/>
              </w:numPr>
              <w:spacing w:after="0" w:line="240" w:lineRule="auto"/>
              <w:ind w:left="0" w:leftChars="0" w:firstLine="0" w:firstLineChars="0"/>
              <w:jc w:val="center"/>
              <w:rPr>
                <w:rFonts w:hint="eastAsia" w:ascii="宋体" w:hAnsi="宋体" w:eastAsia="宋体" w:cs="宋体"/>
                <w:color w:val="auto"/>
                <w:kern w:val="0"/>
                <w:sz w:val="24"/>
                <w:szCs w:val="22"/>
                <w:vertAlign w:val="baseline"/>
                <w:lang w:val="en-US" w:eastAsia="zh-CN" w:bidi="ar-SA"/>
              </w:rPr>
            </w:pPr>
          </w:p>
        </w:tc>
        <w:tc>
          <w:tcPr>
            <w:tcW w:w="5016" w:type="dxa"/>
            <w:shd w:val="clear" w:color="auto" w:fill="auto"/>
            <w:noWrap w:val="0"/>
            <w:vAlign w:val="center"/>
          </w:tcPr>
          <w:p w14:paraId="4DA584E2">
            <w:pPr>
              <w:keepNext w:val="0"/>
              <w:keepLines w:val="0"/>
              <w:widowControl/>
              <w:numPr>
                <w:ilvl w:val="0"/>
                <w:numId w:val="10"/>
              </w:numPr>
              <w:suppressLineNumbers w:val="0"/>
              <w:spacing w:after="0" w:line="240" w:lineRule="auto"/>
              <w:jc w:val="left"/>
              <w:rPr>
                <w:rFonts w:hint="default" w:ascii="Calibri" w:hAnsi="Calibri" w:eastAsia="宋体" w:cs="Calibri"/>
                <w:color w:val="000000"/>
                <w:kern w:val="0"/>
                <w:sz w:val="24"/>
                <w:szCs w:val="24"/>
                <w:lang w:val="en-US" w:eastAsia="zh-CN" w:bidi="ar"/>
              </w:rPr>
            </w:pPr>
            <w:r>
              <w:rPr>
                <w:rFonts w:hint="eastAsia" w:ascii="宋体" w:hAnsi="宋体" w:eastAsia="宋体" w:cs="宋体"/>
                <w:color w:val="000000"/>
                <w:kern w:val="0"/>
                <w:sz w:val="24"/>
                <w:szCs w:val="24"/>
                <w:lang w:val="en-US" w:eastAsia="zh-CN" w:bidi="ar"/>
              </w:rPr>
              <w:t>排量；</w:t>
            </w:r>
            <w:r>
              <w:rPr>
                <w:rFonts w:hint="eastAsia" w:ascii="宋体" w:hAnsi="宋体" w:cs="宋体"/>
                <w:color w:val="000000"/>
                <w:kern w:val="0"/>
                <w:sz w:val="24"/>
                <w:szCs w:val="24"/>
                <w:lang w:val="en-US" w:eastAsia="zh-CN" w:bidi="ar"/>
              </w:rPr>
              <w:t>不低于</w:t>
            </w:r>
            <w:r>
              <w:rPr>
                <w:rFonts w:hint="eastAsia" w:ascii="Calibri" w:hAnsi="Calibri" w:cs="Calibri"/>
                <w:color w:val="000000"/>
                <w:kern w:val="0"/>
                <w:sz w:val="24"/>
                <w:szCs w:val="24"/>
                <w:lang w:val="en-US" w:eastAsia="zh-CN" w:bidi="ar"/>
              </w:rPr>
              <w:t>2000</w:t>
            </w:r>
            <w:r>
              <w:rPr>
                <w:rFonts w:hint="default" w:ascii="Calibri" w:hAnsi="Calibri" w:eastAsia="宋体" w:cs="Calibri"/>
                <w:color w:val="000000"/>
                <w:kern w:val="0"/>
                <w:sz w:val="24"/>
                <w:szCs w:val="24"/>
                <w:lang w:val="en-US" w:eastAsia="zh-CN" w:bidi="ar"/>
              </w:rPr>
              <w:t xml:space="preserve">ml </w:t>
            </w:r>
          </w:p>
          <w:p w14:paraId="34143C37">
            <w:pPr>
              <w:keepNext w:val="0"/>
              <w:keepLines w:val="0"/>
              <w:widowControl/>
              <w:numPr>
                <w:ilvl w:val="0"/>
                <w:numId w:val="10"/>
              </w:numPr>
              <w:suppressLineNumbers w:val="0"/>
              <w:spacing w:after="0" w:line="240" w:lineRule="auto"/>
              <w:jc w:val="left"/>
              <w:rPr>
                <w:rFonts w:hint="default" w:ascii="Calibri" w:hAnsi="Calibri" w:eastAsia="宋体" w:cs="Calibri"/>
                <w:color w:val="000000"/>
                <w:kern w:val="0"/>
                <w:sz w:val="24"/>
                <w:szCs w:val="24"/>
                <w:lang w:val="en-US" w:eastAsia="zh-CN" w:bidi="ar"/>
              </w:rPr>
            </w:pPr>
            <w:r>
              <w:rPr>
                <w:rFonts w:hint="eastAsia" w:ascii="宋体" w:hAnsi="宋体" w:eastAsia="宋体" w:cs="宋体"/>
                <w:color w:val="000000"/>
                <w:kern w:val="0"/>
                <w:sz w:val="24"/>
                <w:szCs w:val="24"/>
                <w:lang w:val="en-US" w:eastAsia="zh-CN" w:bidi="ar"/>
              </w:rPr>
              <w:t>功率：</w:t>
            </w:r>
            <w:r>
              <w:rPr>
                <w:rFonts w:hint="eastAsia" w:ascii="宋体" w:hAnsi="宋体" w:cs="宋体"/>
                <w:color w:val="000000"/>
                <w:kern w:val="0"/>
                <w:sz w:val="24"/>
                <w:szCs w:val="24"/>
                <w:highlight w:val="none"/>
                <w:lang w:val="en-US" w:eastAsia="zh-CN" w:bidi="ar"/>
              </w:rPr>
              <w:t>不低于100</w:t>
            </w:r>
            <w:r>
              <w:rPr>
                <w:rFonts w:hint="default" w:ascii="Calibri" w:hAnsi="Calibri" w:eastAsia="宋体" w:cs="Calibri"/>
                <w:color w:val="000000"/>
                <w:kern w:val="0"/>
                <w:sz w:val="24"/>
                <w:szCs w:val="24"/>
                <w:highlight w:val="none"/>
                <w:lang w:val="en-US" w:eastAsia="zh-CN" w:bidi="ar"/>
              </w:rPr>
              <w:t>kw</w:t>
            </w:r>
          </w:p>
          <w:p w14:paraId="1DFDFB22">
            <w:pPr>
              <w:keepNext w:val="0"/>
              <w:keepLines w:val="0"/>
              <w:widowControl/>
              <w:suppressLineNumbers w:val="0"/>
              <w:spacing w:after="0" w:line="240" w:lineRule="auto"/>
              <w:jc w:val="left"/>
              <w:rPr>
                <w:rFonts w:hint="eastAsia" w:ascii="宋体" w:hAnsi="宋体" w:eastAsia="宋体" w:cs="宋体"/>
                <w:color w:val="auto"/>
                <w:kern w:val="0"/>
                <w:sz w:val="21"/>
                <w:szCs w:val="21"/>
                <w:lang w:val="en-US" w:eastAsia="zh-CN" w:bidi="ar-SA"/>
              </w:rPr>
            </w:pPr>
            <w:r>
              <w:rPr>
                <w:rFonts w:hint="eastAsia" w:ascii="宋体" w:hAnsi="宋体" w:cs="宋体"/>
                <w:color w:val="FF0000"/>
                <w:kern w:val="0"/>
                <w:sz w:val="24"/>
                <w:szCs w:val="24"/>
                <w:lang w:val="en-US" w:eastAsia="zh-CN" w:bidi="ar"/>
              </w:rPr>
              <w:t>3、</w:t>
            </w:r>
            <w:r>
              <w:rPr>
                <w:rFonts w:hint="eastAsia" w:ascii="宋体" w:hAnsi="宋体" w:eastAsia="宋体" w:cs="宋体"/>
                <w:color w:val="000000"/>
                <w:kern w:val="0"/>
                <w:sz w:val="24"/>
                <w:szCs w:val="24"/>
                <w:lang w:val="en-US" w:eastAsia="zh-CN" w:bidi="ar"/>
              </w:rPr>
              <w:t>排放标准：</w:t>
            </w:r>
            <w:r>
              <w:rPr>
                <w:rFonts w:hint="eastAsia" w:ascii="宋体" w:hAnsi="宋体" w:cs="宋体"/>
                <w:color w:val="000000"/>
                <w:kern w:val="0"/>
                <w:sz w:val="24"/>
                <w:szCs w:val="24"/>
                <w:lang w:val="en-US" w:eastAsia="zh-CN" w:bidi="ar"/>
              </w:rPr>
              <w:t>满足国家最新排放标准</w:t>
            </w:r>
            <w:r>
              <w:rPr>
                <w:rFonts w:hint="eastAsia" w:ascii="宋体" w:hAnsi="宋体" w:eastAsia="宋体" w:cs="宋体"/>
                <w:color w:val="auto"/>
                <w:kern w:val="0"/>
                <w:sz w:val="21"/>
                <w:szCs w:val="21"/>
                <w:lang w:val="en-US" w:eastAsia="zh-CN" w:bidi="ar-SA"/>
              </w:rPr>
              <w:t xml:space="preserve">                    </w:t>
            </w:r>
          </w:p>
          <w:p w14:paraId="2454C8CE">
            <w:pPr>
              <w:pStyle w:val="230"/>
              <w:keepNext w:val="0"/>
              <w:keepLines w:val="0"/>
              <w:pageBreakBefore w:val="0"/>
              <w:widowControl w:val="0"/>
              <w:numPr>
                <w:ilvl w:val="0"/>
                <w:numId w:val="0"/>
              </w:numPr>
              <w:kinsoku/>
              <w:wordWrap/>
              <w:overflowPunct/>
              <w:topLinePunct w:val="0"/>
              <w:autoSpaceDE/>
              <w:autoSpaceDN/>
              <w:bidi w:val="0"/>
              <w:adjustRightInd/>
              <w:snapToGrid/>
              <w:spacing w:after="0" w:line="240" w:lineRule="auto"/>
              <w:ind w:leftChars="0"/>
              <w:jc w:val="left"/>
              <w:textAlignment w:val="auto"/>
              <w:rPr>
                <w:rFonts w:hint="eastAsia" w:ascii="宋体" w:hAnsi="宋体" w:eastAsia="宋体" w:cs="宋体"/>
                <w:color w:val="auto"/>
                <w:kern w:val="0"/>
                <w:sz w:val="24"/>
                <w:szCs w:val="22"/>
                <w:lang w:val="en-US" w:eastAsia="zh-CN" w:bidi="ar-SA"/>
              </w:rPr>
            </w:pPr>
            <w:r>
              <w:rPr>
                <w:rFonts w:hint="eastAsia" w:cs="宋体"/>
                <w:color w:val="auto"/>
                <w:kern w:val="0"/>
                <w:sz w:val="24"/>
                <w:szCs w:val="22"/>
                <w:lang w:val="en-US" w:eastAsia="zh-CN" w:bidi="ar-SA"/>
              </w:rPr>
              <w:t>4、</w:t>
            </w:r>
            <w:r>
              <w:rPr>
                <w:rFonts w:hint="eastAsia" w:ascii="宋体" w:hAnsi="宋体" w:eastAsia="宋体" w:cs="宋体"/>
                <w:color w:val="auto"/>
                <w:kern w:val="0"/>
                <w:sz w:val="24"/>
                <w:szCs w:val="22"/>
                <w:lang w:val="en-US" w:eastAsia="zh-Hans" w:bidi="ar-SA"/>
              </w:rPr>
              <w:t>荷载人数：5人(</w:t>
            </w:r>
            <w:r>
              <w:rPr>
                <w:rFonts w:hint="eastAsia" w:ascii="宋体" w:hAnsi="宋体" w:eastAsia="宋体" w:cs="宋体"/>
                <w:color w:val="auto"/>
                <w:kern w:val="0"/>
                <w:sz w:val="24"/>
                <w:szCs w:val="22"/>
                <w:lang w:val="en-US" w:eastAsia="zh-CN" w:bidi="ar-SA"/>
              </w:rPr>
              <w:t>合格证为</w:t>
            </w:r>
            <w:r>
              <w:rPr>
                <w:rFonts w:hint="eastAsia" w:ascii="宋体" w:hAnsi="宋体" w:eastAsia="宋体" w:cs="宋体"/>
                <w:color w:val="auto"/>
                <w:kern w:val="0"/>
                <w:sz w:val="24"/>
                <w:szCs w:val="22"/>
                <w:lang w:val="en-US" w:eastAsia="zh-Hans" w:bidi="ar-SA"/>
              </w:rPr>
              <w:t>5人)</w:t>
            </w:r>
            <w:r>
              <w:rPr>
                <w:rFonts w:hint="eastAsia" w:ascii="宋体" w:hAnsi="宋体" w:eastAsia="宋体" w:cs="宋体"/>
                <w:color w:val="auto"/>
                <w:kern w:val="0"/>
                <w:sz w:val="24"/>
                <w:szCs w:val="22"/>
                <w:lang w:val="en-US" w:eastAsia="zh-CN" w:bidi="ar-SA"/>
              </w:rPr>
              <w:t>；</w:t>
            </w:r>
          </w:p>
          <w:p w14:paraId="17E3604B">
            <w:pPr>
              <w:pStyle w:val="230"/>
              <w:keepNext w:val="0"/>
              <w:keepLines w:val="0"/>
              <w:pageBreakBefore w:val="0"/>
              <w:widowControl w:val="0"/>
              <w:numPr>
                <w:ilvl w:val="0"/>
                <w:numId w:val="0"/>
              </w:numPr>
              <w:kinsoku/>
              <w:wordWrap/>
              <w:overflowPunct/>
              <w:topLinePunct w:val="0"/>
              <w:autoSpaceDE/>
              <w:autoSpaceDN/>
              <w:bidi w:val="0"/>
              <w:adjustRightInd/>
              <w:snapToGrid/>
              <w:spacing w:after="0" w:line="240" w:lineRule="auto"/>
              <w:ind w:leftChars="0"/>
              <w:jc w:val="left"/>
              <w:textAlignment w:val="auto"/>
              <w:rPr>
                <w:rFonts w:hint="eastAsia" w:ascii="宋体" w:hAnsi="宋体" w:eastAsia="宋体" w:cs="宋体"/>
                <w:color w:val="auto"/>
                <w:kern w:val="0"/>
                <w:sz w:val="24"/>
                <w:szCs w:val="22"/>
                <w:lang w:val="en-US" w:eastAsia="zh-CN" w:bidi="ar-SA"/>
              </w:rPr>
            </w:pPr>
            <w:r>
              <w:rPr>
                <w:rFonts w:hint="eastAsia" w:cs="宋体"/>
                <w:color w:val="auto"/>
                <w:kern w:val="0"/>
                <w:sz w:val="24"/>
                <w:szCs w:val="22"/>
                <w:lang w:val="en-US" w:eastAsia="zh-CN" w:bidi="ar-SA"/>
              </w:rPr>
              <w:t>5、布局采取为前二后三平行布局，后段采取密封式布局，密封仓布局长度不低于2.2米。</w:t>
            </w:r>
            <w:r>
              <w:rPr>
                <w:rFonts w:hint="eastAsia" w:ascii="宋体" w:hAnsi="宋体" w:eastAsia="宋体" w:cs="宋体"/>
                <w:color w:val="auto"/>
                <w:kern w:val="0"/>
                <w:sz w:val="24"/>
                <w:szCs w:val="22"/>
                <w:lang w:val="en-US" w:eastAsia="zh-CN" w:bidi="ar-SA"/>
              </w:rPr>
              <w:t xml:space="preserve">        </w:t>
            </w:r>
          </w:p>
          <w:p w14:paraId="1CD880C1">
            <w:pPr>
              <w:keepNext w:val="0"/>
              <w:keepLines w:val="0"/>
              <w:widowControl/>
              <w:suppressLineNumbers w:val="0"/>
              <w:spacing w:after="0" w:line="240" w:lineRule="auto"/>
              <w:jc w:val="left"/>
              <w:rPr>
                <w:rFonts w:hint="eastAsia" w:ascii="宋体" w:hAnsi="宋体" w:eastAsia="宋体" w:cs="宋体"/>
                <w:color w:val="auto"/>
                <w:kern w:val="0"/>
                <w:sz w:val="24"/>
                <w:szCs w:val="22"/>
                <w:lang w:val="en-US" w:eastAsia="zh-CN" w:bidi="ar-SA"/>
              </w:rPr>
            </w:pPr>
            <w:r>
              <w:rPr>
                <w:rFonts w:hint="eastAsia" w:cs="宋体"/>
                <w:color w:val="auto"/>
                <w:kern w:val="0"/>
                <w:sz w:val="24"/>
                <w:szCs w:val="22"/>
                <w:lang w:val="en-US" w:eastAsia="zh-CN" w:bidi="ar-SA"/>
              </w:rPr>
              <w:t>6、</w:t>
            </w:r>
            <w:r>
              <w:rPr>
                <w:rFonts w:hint="eastAsia" w:ascii="宋体" w:hAnsi="宋体" w:eastAsia="宋体" w:cs="宋体"/>
                <w:color w:val="auto"/>
                <w:kern w:val="0"/>
                <w:sz w:val="24"/>
                <w:szCs w:val="22"/>
                <w:lang w:val="en-US" w:eastAsia="zh-CN" w:bidi="ar-SA"/>
              </w:rPr>
              <w:t xml:space="preserve">转向方式：方向盘  </w:t>
            </w:r>
          </w:p>
        </w:tc>
        <w:tc>
          <w:tcPr>
            <w:tcW w:w="750" w:type="dxa"/>
            <w:shd w:val="clear" w:color="auto" w:fill="auto"/>
            <w:noWrap w:val="0"/>
            <w:vAlign w:val="center"/>
          </w:tcPr>
          <w:p w14:paraId="6E51CE3B">
            <w:pPr>
              <w:pStyle w:val="47"/>
              <w:numPr>
                <w:ilvl w:val="0"/>
                <w:numId w:val="0"/>
              </w:numPr>
              <w:spacing w:after="0" w:line="240" w:lineRule="auto"/>
              <w:ind w:left="0" w:leftChars="0" w:firstLine="0" w:firstLineChars="0"/>
              <w:jc w:val="center"/>
              <w:rPr>
                <w:rFonts w:hint="eastAsia" w:ascii="宋体" w:hAnsi="宋体" w:eastAsia="宋体" w:cs="宋体"/>
                <w:color w:val="auto"/>
                <w:kern w:val="0"/>
                <w:sz w:val="24"/>
                <w:szCs w:val="22"/>
                <w:vertAlign w:val="baseline"/>
                <w:lang w:val="en-US" w:eastAsia="zh-CN" w:bidi="ar-SA"/>
              </w:rPr>
            </w:pPr>
          </w:p>
        </w:tc>
        <w:tc>
          <w:tcPr>
            <w:tcW w:w="750" w:type="dxa"/>
            <w:shd w:val="clear" w:color="auto" w:fill="auto"/>
            <w:noWrap w:val="0"/>
            <w:vAlign w:val="center"/>
          </w:tcPr>
          <w:p w14:paraId="49C28412">
            <w:pPr>
              <w:pStyle w:val="47"/>
              <w:numPr>
                <w:ilvl w:val="0"/>
                <w:numId w:val="0"/>
              </w:numPr>
              <w:spacing w:after="0" w:line="240" w:lineRule="auto"/>
              <w:ind w:left="0" w:leftChars="0" w:firstLine="0" w:firstLineChars="0"/>
              <w:jc w:val="center"/>
              <w:rPr>
                <w:rFonts w:hint="eastAsia" w:ascii="宋体" w:hAnsi="宋体" w:eastAsia="宋体" w:cs="宋体"/>
                <w:color w:val="auto"/>
                <w:kern w:val="0"/>
                <w:sz w:val="24"/>
                <w:szCs w:val="22"/>
                <w:vertAlign w:val="baseline"/>
                <w:lang w:val="en-US" w:eastAsia="zh-CN" w:bidi="ar-SA"/>
              </w:rPr>
            </w:pPr>
            <w:r>
              <w:rPr>
                <w:rFonts w:hint="eastAsia" w:ascii="宋体" w:hAnsi="宋体" w:cs="宋体"/>
                <w:color w:val="auto"/>
                <w:kern w:val="0"/>
                <w:sz w:val="24"/>
                <w:szCs w:val="22"/>
                <w:vertAlign w:val="baseline"/>
                <w:lang w:val="en-US" w:eastAsia="zh-CN" w:bidi="ar-SA"/>
              </w:rPr>
              <w:t>3</w:t>
            </w:r>
          </w:p>
        </w:tc>
        <w:tc>
          <w:tcPr>
            <w:tcW w:w="840" w:type="dxa"/>
            <w:shd w:val="clear" w:color="auto" w:fill="auto"/>
            <w:noWrap w:val="0"/>
            <w:vAlign w:val="center"/>
          </w:tcPr>
          <w:p w14:paraId="1D453869">
            <w:pPr>
              <w:pStyle w:val="47"/>
              <w:numPr>
                <w:ilvl w:val="0"/>
                <w:numId w:val="0"/>
              </w:numPr>
              <w:spacing w:after="0" w:line="240" w:lineRule="auto"/>
              <w:ind w:left="0" w:leftChars="0" w:firstLine="0" w:firstLineChars="0"/>
              <w:jc w:val="center"/>
              <w:rPr>
                <w:rFonts w:hint="eastAsia" w:ascii="宋体" w:hAnsi="宋体" w:eastAsia="宋体" w:cs="宋体"/>
                <w:color w:val="auto"/>
                <w:kern w:val="0"/>
                <w:sz w:val="24"/>
                <w:szCs w:val="22"/>
                <w:vertAlign w:val="baseline"/>
                <w:lang w:val="en-US" w:eastAsia="zh-CN" w:bidi="ar-SA"/>
              </w:rPr>
            </w:pPr>
            <w:r>
              <w:rPr>
                <w:rFonts w:hint="eastAsia" w:ascii="宋体" w:hAnsi="宋体" w:eastAsia="宋体" w:cs="宋体"/>
                <w:color w:val="auto"/>
                <w:kern w:val="0"/>
                <w:sz w:val="24"/>
                <w:szCs w:val="22"/>
                <w:vertAlign w:val="baseline"/>
                <w:lang w:val="en-US" w:eastAsia="zh-CN" w:bidi="ar-SA"/>
              </w:rPr>
              <w:t>辆</w:t>
            </w:r>
          </w:p>
        </w:tc>
      </w:tr>
    </w:tbl>
    <w:p w14:paraId="53F66896">
      <w:pPr>
        <w:spacing w:line="360" w:lineRule="auto"/>
        <w:ind w:firstLine="562"/>
        <w:rPr>
          <w:rFonts w:hint="eastAsia" w:ascii="宋体" w:hAnsi="宋体" w:eastAsia="宋体" w:cs="宋体"/>
          <w:b/>
          <w:bCs/>
          <w:color w:val="000000" w:themeColor="text1"/>
          <w:sz w:val="24"/>
          <w:szCs w:val="24"/>
          <w:highlight w:val="none"/>
          <w:lang w:val="en-US" w:eastAsia="zh-CN"/>
          <w14:textFill>
            <w14:solidFill>
              <w14:schemeClr w14:val="tx1"/>
            </w14:solidFill>
          </w14:textFill>
        </w:rPr>
      </w:pPr>
    </w:p>
    <w:p w14:paraId="37E4726E">
      <w:pPr>
        <w:keepNext w:val="0"/>
        <w:keepLines w:val="0"/>
        <w:pageBreakBefore w:val="0"/>
        <w:widowControl/>
        <w:kinsoku/>
        <w:wordWrap/>
        <w:overflowPunct/>
        <w:topLinePunct w:val="0"/>
        <w:autoSpaceDE/>
        <w:autoSpaceDN/>
        <w:bidi w:val="0"/>
        <w:adjustRightInd/>
        <w:snapToGrid/>
        <w:spacing w:line="460" w:lineRule="exact"/>
        <w:jc w:val="left"/>
        <w:textAlignment w:val="auto"/>
        <w:rPr>
          <w:rFonts w:hint="eastAsia" w:ascii="宋体" w:hAnsi="宋体" w:eastAsia="宋体" w:cs="宋体"/>
          <w:b/>
          <w:bCs/>
          <w:color w:val="auto"/>
          <w:kern w:val="0"/>
          <w:sz w:val="24"/>
          <w:szCs w:val="22"/>
          <w:lang w:val="en-US" w:eastAsia="zh-Hans" w:bidi="ar-SA"/>
        </w:rPr>
      </w:pPr>
      <w:r>
        <w:rPr>
          <w:rFonts w:hint="eastAsia" w:ascii="宋体" w:hAnsi="宋体" w:eastAsia="宋体" w:cs="宋体"/>
          <w:b/>
          <w:bCs/>
          <w:color w:val="auto"/>
          <w:kern w:val="0"/>
          <w:sz w:val="24"/>
          <w:szCs w:val="22"/>
          <w:lang w:val="en-US" w:eastAsia="zh-Hans" w:bidi="ar-SA"/>
        </w:rPr>
        <w:t>汽车主要配置：</w:t>
      </w:r>
    </w:p>
    <w:p w14:paraId="45BED2BF">
      <w:pPr>
        <w:keepNext w:val="0"/>
        <w:keepLines w:val="0"/>
        <w:pageBreakBefore w:val="0"/>
        <w:widowControl/>
        <w:kinsoku/>
        <w:wordWrap/>
        <w:overflowPunct/>
        <w:topLinePunct w:val="0"/>
        <w:autoSpaceDE/>
        <w:autoSpaceDN/>
        <w:bidi w:val="0"/>
        <w:adjustRightInd/>
        <w:snapToGrid/>
        <w:spacing w:line="460" w:lineRule="exact"/>
        <w:jc w:val="left"/>
        <w:textAlignment w:val="auto"/>
        <w:rPr>
          <w:rFonts w:hint="eastAsia" w:ascii="宋体" w:hAnsi="宋体" w:eastAsia="宋体" w:cs="宋体"/>
          <w:color w:val="auto"/>
          <w:kern w:val="0"/>
          <w:sz w:val="24"/>
          <w:szCs w:val="22"/>
          <w:lang w:val="en-US" w:eastAsia="zh-CN" w:bidi="ar-SA"/>
        </w:rPr>
      </w:pPr>
      <w:r>
        <w:rPr>
          <w:rFonts w:hint="eastAsia" w:ascii="宋体" w:hAnsi="宋体" w:eastAsia="宋体" w:cs="宋体"/>
          <w:color w:val="auto"/>
          <w:kern w:val="0"/>
          <w:sz w:val="24"/>
          <w:szCs w:val="22"/>
          <w:lang w:val="en-US" w:eastAsia="zh-Hans" w:bidi="ar-SA"/>
        </w:rPr>
        <w:t>（</w:t>
      </w:r>
      <w:r>
        <w:rPr>
          <w:rFonts w:hint="eastAsia" w:ascii="宋体" w:hAnsi="宋体" w:cs="宋体"/>
          <w:color w:val="auto"/>
          <w:kern w:val="0"/>
          <w:sz w:val="24"/>
          <w:szCs w:val="22"/>
          <w:lang w:val="en-US" w:eastAsia="zh-CN" w:bidi="ar-SA"/>
        </w:rPr>
        <w:t>1</w:t>
      </w:r>
      <w:r>
        <w:rPr>
          <w:rFonts w:hint="eastAsia" w:ascii="宋体" w:hAnsi="宋体" w:eastAsia="宋体" w:cs="宋体"/>
          <w:color w:val="auto"/>
          <w:kern w:val="0"/>
          <w:sz w:val="24"/>
          <w:szCs w:val="22"/>
          <w:lang w:val="en-US" w:eastAsia="zh-Hans" w:bidi="ar-SA"/>
        </w:rPr>
        <w:t>）</w:t>
      </w:r>
      <w:r>
        <w:rPr>
          <w:rFonts w:hint="eastAsia" w:ascii="宋体" w:hAnsi="宋体" w:cs="宋体"/>
          <w:color w:val="auto"/>
          <w:kern w:val="0"/>
          <w:sz w:val="24"/>
          <w:szCs w:val="22"/>
          <w:lang w:val="en-US" w:eastAsia="zh-CN" w:bidi="ar-SA"/>
        </w:rPr>
        <w:t>车辆功能不低于：</w:t>
      </w:r>
      <w:r>
        <w:rPr>
          <w:rFonts w:hint="eastAsia" w:ascii="宋体" w:hAnsi="宋体" w:eastAsia="宋体" w:cs="宋体"/>
          <w:color w:val="auto"/>
          <w:kern w:val="0"/>
          <w:sz w:val="24"/>
          <w:szCs w:val="22"/>
          <w:lang w:val="en-US" w:eastAsia="zh-CN" w:bidi="ar-SA"/>
        </w:rPr>
        <w:t>中央</w:t>
      </w:r>
      <w:r>
        <w:rPr>
          <w:rFonts w:hint="eastAsia" w:ascii="宋体" w:hAnsi="宋体" w:eastAsia="宋体" w:cs="宋体"/>
          <w:color w:val="auto"/>
          <w:kern w:val="0"/>
          <w:sz w:val="24"/>
          <w:szCs w:val="22"/>
          <w:lang w:val="en-US" w:eastAsia="zh-Hans" w:bidi="ar-SA"/>
        </w:rPr>
        <w:t>空调</w:t>
      </w:r>
      <w:r>
        <w:rPr>
          <w:rFonts w:hint="default" w:ascii="宋体" w:hAnsi="宋体" w:eastAsia="宋体" w:cs="宋体"/>
          <w:color w:val="auto"/>
          <w:kern w:val="0"/>
          <w:sz w:val="24"/>
          <w:szCs w:val="22"/>
          <w:lang w:val="en-US" w:eastAsia="zh-Hans" w:bidi="ar-SA"/>
        </w:rPr>
        <w:t>、</w:t>
      </w:r>
      <w:r>
        <w:rPr>
          <w:rFonts w:hint="eastAsia" w:ascii="宋体" w:hAnsi="宋体" w:eastAsia="宋体" w:cs="宋体"/>
          <w:color w:val="auto"/>
          <w:kern w:val="0"/>
          <w:sz w:val="24"/>
          <w:szCs w:val="22"/>
          <w:lang w:val="en-US" w:eastAsia="zh-Hans" w:bidi="ar-SA"/>
        </w:rPr>
        <w:t>助力转向、遥控门锁、电动前门车窗、</w:t>
      </w:r>
      <w:r>
        <w:rPr>
          <w:rFonts w:hint="eastAsia" w:ascii="宋体" w:hAnsi="宋体" w:eastAsia="宋体" w:cs="宋体"/>
          <w:color w:val="auto"/>
          <w:kern w:val="0"/>
          <w:sz w:val="24"/>
          <w:szCs w:val="22"/>
          <w:lang w:val="en-US" w:eastAsia="zh-CN" w:bidi="ar-SA"/>
        </w:rPr>
        <w:t>前</w:t>
      </w:r>
      <w:r>
        <w:rPr>
          <w:rFonts w:hint="default" w:ascii="宋体" w:hAnsi="宋体" w:eastAsia="宋体" w:cs="宋体"/>
          <w:color w:val="auto"/>
          <w:kern w:val="0"/>
          <w:sz w:val="24"/>
          <w:szCs w:val="22"/>
          <w:lang w:val="en-US" w:eastAsia="zh-Hans" w:bidi="ar-SA"/>
        </w:rPr>
        <w:t>雾灯</w:t>
      </w:r>
      <w:r>
        <w:rPr>
          <w:rFonts w:hint="eastAsia" w:ascii="宋体" w:hAnsi="宋体" w:eastAsia="宋体" w:cs="宋体"/>
          <w:color w:val="auto"/>
          <w:kern w:val="0"/>
          <w:sz w:val="24"/>
          <w:szCs w:val="22"/>
          <w:lang w:val="en-US" w:eastAsia="zh-CN" w:bidi="ar-SA"/>
        </w:rPr>
        <w:t>、</w:t>
      </w:r>
      <w:r>
        <w:rPr>
          <w:rFonts w:hint="default" w:ascii="宋体" w:hAnsi="宋体" w:eastAsia="宋体" w:cs="宋体"/>
          <w:color w:val="auto"/>
          <w:kern w:val="0"/>
          <w:sz w:val="24"/>
          <w:szCs w:val="22"/>
          <w:lang w:val="en-US" w:eastAsia="zh-Hans" w:bidi="ar-SA"/>
        </w:rPr>
        <w:t>普通承载式底盘</w:t>
      </w:r>
      <w:r>
        <w:rPr>
          <w:rFonts w:hint="eastAsia" w:ascii="宋体" w:hAnsi="宋体" w:eastAsia="宋体" w:cs="宋体"/>
          <w:color w:val="auto"/>
          <w:kern w:val="0"/>
          <w:sz w:val="24"/>
          <w:szCs w:val="22"/>
          <w:lang w:val="en-US" w:eastAsia="zh-CN" w:bidi="ar-SA"/>
        </w:rPr>
        <w:t>、</w:t>
      </w:r>
      <w:r>
        <w:rPr>
          <w:rFonts w:hint="eastAsia" w:ascii="宋体" w:hAnsi="宋体" w:eastAsia="宋体" w:cs="宋体"/>
          <w:color w:val="auto"/>
          <w:kern w:val="0"/>
          <w:sz w:val="24"/>
          <w:szCs w:val="22"/>
          <w:lang w:val="en-US" w:eastAsia="zh-Hans" w:bidi="ar-SA"/>
        </w:rPr>
        <w:t>ABS+EBD</w:t>
      </w:r>
      <w:r>
        <w:rPr>
          <w:rFonts w:hint="eastAsia" w:ascii="宋体" w:hAnsi="宋体" w:eastAsia="宋体" w:cs="宋体"/>
          <w:color w:val="auto"/>
          <w:kern w:val="0"/>
          <w:sz w:val="24"/>
          <w:szCs w:val="22"/>
          <w:lang w:val="en-US" w:eastAsia="zh-CN" w:bidi="ar-SA"/>
        </w:rPr>
        <w:t>、前双横臂扭杆、主驾驶安全带未系报警、乘客区三点式安全带、2个扬声器、MP3、停车自动解锁、</w:t>
      </w:r>
      <w:r>
        <w:rPr>
          <w:rFonts w:hint="eastAsia" w:ascii="宋体" w:hAnsi="宋体" w:eastAsia="宋体" w:cs="宋体"/>
          <w:color w:val="auto"/>
          <w:kern w:val="0"/>
          <w:sz w:val="24"/>
          <w:szCs w:val="22"/>
          <w:lang w:val="en-US" w:eastAsia="zh-Hans" w:bidi="ar-SA"/>
        </w:rPr>
        <w:t>宽轮胎、灭火器</w:t>
      </w:r>
      <w:r>
        <w:rPr>
          <w:rFonts w:hint="eastAsia" w:ascii="宋体" w:hAnsi="宋体" w:eastAsia="宋体" w:cs="宋体"/>
          <w:color w:val="auto"/>
          <w:kern w:val="0"/>
          <w:sz w:val="24"/>
          <w:szCs w:val="22"/>
          <w:lang w:val="en-US" w:eastAsia="zh-CN" w:bidi="ar-SA"/>
        </w:rPr>
        <w:t>、</w:t>
      </w:r>
      <w:r>
        <w:rPr>
          <w:rFonts w:hint="eastAsia" w:ascii="宋体" w:hAnsi="宋体" w:eastAsia="宋体" w:cs="宋体"/>
          <w:color w:val="auto"/>
          <w:kern w:val="0"/>
          <w:sz w:val="24"/>
          <w:szCs w:val="22"/>
          <w:lang w:val="en-US" w:eastAsia="zh-Hans" w:bidi="ar-SA"/>
        </w:rPr>
        <w:t>前盘后鼓制动器</w:t>
      </w:r>
      <w:r>
        <w:rPr>
          <w:rFonts w:hint="eastAsia" w:ascii="宋体" w:hAnsi="宋体" w:eastAsia="宋体" w:cs="宋体"/>
          <w:color w:val="auto"/>
          <w:kern w:val="0"/>
          <w:sz w:val="24"/>
          <w:szCs w:val="22"/>
          <w:lang w:val="en-US" w:eastAsia="zh-CN" w:bidi="ar-SA"/>
        </w:rPr>
        <w:t>、手动单侧滑门、踏步</w:t>
      </w:r>
      <w:r>
        <w:rPr>
          <w:rFonts w:hint="eastAsia" w:ascii="宋体" w:hAnsi="宋体" w:eastAsia="宋体" w:cs="宋体"/>
          <w:color w:val="auto"/>
          <w:kern w:val="0"/>
          <w:sz w:val="24"/>
          <w:szCs w:val="22"/>
          <w:lang w:val="en-US" w:eastAsia="zh-Hans" w:bidi="ar-SA"/>
        </w:rPr>
        <w:t>、</w:t>
      </w:r>
      <w:r>
        <w:rPr>
          <w:rFonts w:hint="eastAsia" w:ascii="宋体" w:hAnsi="宋体" w:eastAsia="宋体" w:cs="宋体"/>
          <w:color w:val="auto"/>
          <w:kern w:val="0"/>
          <w:sz w:val="24"/>
          <w:szCs w:val="22"/>
          <w:lang w:val="en-US" w:eastAsia="zh-CN" w:bidi="ar-SA"/>
        </w:rPr>
        <w:t>可选装GPS导航、倒车影像、行车记录仪三位一体机</w:t>
      </w:r>
      <w:r>
        <w:rPr>
          <w:rFonts w:hint="eastAsia" w:ascii="宋体" w:hAnsi="宋体" w:eastAsia="宋体" w:cs="宋体"/>
          <w:color w:val="auto"/>
          <w:kern w:val="0"/>
          <w:sz w:val="24"/>
          <w:szCs w:val="22"/>
          <w:lang w:val="en-US" w:eastAsia="zh-Hans" w:bidi="ar-SA"/>
        </w:rPr>
        <w:t>。</w:t>
      </w:r>
      <w:r>
        <w:rPr>
          <w:rFonts w:hint="eastAsia" w:ascii="宋体" w:hAnsi="宋体" w:eastAsia="宋体" w:cs="宋体"/>
          <w:color w:val="auto"/>
          <w:kern w:val="0"/>
          <w:sz w:val="24"/>
          <w:szCs w:val="22"/>
          <w:lang w:val="en-US" w:eastAsia="zh-CN" w:bidi="ar-SA"/>
        </w:rPr>
        <w:t xml:space="preserve"> </w:t>
      </w:r>
    </w:p>
    <w:p w14:paraId="1B0AE4AA">
      <w:pPr>
        <w:keepNext w:val="0"/>
        <w:keepLines w:val="0"/>
        <w:pageBreakBefore w:val="0"/>
        <w:widowControl/>
        <w:kinsoku/>
        <w:wordWrap/>
        <w:overflowPunct/>
        <w:topLinePunct w:val="0"/>
        <w:autoSpaceDE/>
        <w:autoSpaceDN/>
        <w:bidi w:val="0"/>
        <w:adjustRightInd/>
        <w:snapToGrid/>
        <w:spacing w:line="460" w:lineRule="exact"/>
        <w:ind w:firstLine="482" w:firstLineChars="200"/>
        <w:jc w:val="left"/>
        <w:textAlignment w:val="auto"/>
        <w:rPr>
          <w:rFonts w:hint="default" w:ascii="宋体" w:hAnsi="宋体" w:eastAsia="宋体" w:cs="宋体"/>
          <w:color w:val="auto"/>
          <w:kern w:val="0"/>
          <w:sz w:val="24"/>
          <w:szCs w:val="22"/>
          <w:lang w:val="en-US" w:eastAsia="zh-CN" w:bidi="ar-SA"/>
        </w:rPr>
      </w:pPr>
      <w:r>
        <w:rPr>
          <w:rFonts w:hint="eastAsia" w:ascii="宋体" w:hAnsi="宋体" w:eastAsia="宋体" w:cs="宋体"/>
          <w:b/>
          <w:bCs/>
          <w:color w:val="auto"/>
          <w:kern w:val="0"/>
          <w:sz w:val="24"/>
          <w:szCs w:val="22"/>
          <w:lang w:val="en-US" w:eastAsia="zh-CN" w:bidi="ar-SA"/>
        </w:rPr>
        <w:t>改装要求：</w:t>
      </w:r>
      <w:r>
        <w:rPr>
          <w:rFonts w:hint="eastAsia" w:ascii="宋体" w:hAnsi="宋体" w:eastAsia="宋体" w:cs="宋体"/>
          <w:color w:val="auto"/>
          <w:kern w:val="0"/>
          <w:sz w:val="24"/>
          <w:szCs w:val="22"/>
          <w:lang w:val="en-US" w:eastAsia="zh-CN" w:bidi="ar-SA"/>
        </w:rPr>
        <w:t>根据</w:t>
      </w:r>
      <w:r>
        <w:rPr>
          <w:rFonts w:hint="eastAsia" w:ascii="宋体" w:hAnsi="宋体" w:cs="宋体"/>
          <w:color w:val="auto"/>
          <w:kern w:val="0"/>
          <w:sz w:val="24"/>
          <w:szCs w:val="22"/>
          <w:lang w:val="en-US" w:eastAsia="zh-CN" w:bidi="ar-SA"/>
        </w:rPr>
        <w:t>采购人</w:t>
      </w:r>
      <w:r>
        <w:rPr>
          <w:rFonts w:hint="eastAsia" w:ascii="宋体" w:hAnsi="宋体" w:eastAsia="宋体" w:cs="宋体"/>
          <w:color w:val="auto"/>
          <w:kern w:val="0"/>
          <w:sz w:val="24"/>
          <w:szCs w:val="22"/>
          <w:lang w:val="en-US" w:eastAsia="zh-CN" w:bidi="ar-SA"/>
        </w:rPr>
        <w:t>要求加装殡仪专用设施，改装部位要求密封、无异响</w:t>
      </w:r>
      <w:r>
        <w:rPr>
          <w:rFonts w:hint="eastAsia" w:ascii="宋体" w:hAnsi="宋体" w:cs="宋体"/>
          <w:color w:val="auto"/>
          <w:kern w:val="0"/>
          <w:sz w:val="24"/>
          <w:szCs w:val="22"/>
          <w:lang w:val="en-US" w:eastAsia="zh-CN" w:bidi="ar-SA"/>
        </w:rPr>
        <w:t>，</w:t>
      </w:r>
      <w:r>
        <w:rPr>
          <w:rFonts w:hint="eastAsia" w:ascii="宋体" w:hAnsi="宋体" w:eastAsia="宋体" w:cs="宋体"/>
          <w:color w:val="auto"/>
          <w:kern w:val="0"/>
          <w:sz w:val="24"/>
          <w:szCs w:val="22"/>
          <w:lang w:val="en-US" w:eastAsia="zh-CN" w:bidi="ar-SA"/>
        </w:rPr>
        <w:t>所有材料均采用不锈钢防腐防锈材料制作而成</w:t>
      </w:r>
      <w:r>
        <w:rPr>
          <w:rFonts w:hint="eastAsia" w:ascii="宋体" w:hAnsi="宋体" w:cs="宋体"/>
          <w:color w:val="auto"/>
          <w:kern w:val="0"/>
          <w:sz w:val="24"/>
          <w:szCs w:val="22"/>
          <w:lang w:val="en-US" w:eastAsia="zh-CN" w:bidi="ar-SA"/>
        </w:rPr>
        <w:t>，改装时采购人派人现场查验。特殊需求由双方协商约定。</w:t>
      </w:r>
    </w:p>
    <w:p w14:paraId="0807F89A">
      <w:pPr>
        <w:pStyle w:val="230"/>
        <w:keepNext w:val="0"/>
        <w:keepLines w:val="0"/>
        <w:pageBreakBefore w:val="0"/>
        <w:numPr>
          <w:ilvl w:val="0"/>
          <w:numId w:val="0"/>
        </w:numPr>
        <w:kinsoku/>
        <w:wordWrap/>
        <w:overflowPunct/>
        <w:topLinePunct w:val="0"/>
        <w:autoSpaceDE/>
        <w:autoSpaceDN/>
        <w:bidi w:val="0"/>
        <w:adjustRightInd/>
        <w:snapToGrid/>
        <w:spacing w:line="460" w:lineRule="exact"/>
        <w:ind w:left="0" w:leftChars="0" w:firstLine="562" w:firstLineChars="200"/>
        <w:textAlignment w:val="auto"/>
        <w:rPr>
          <w:rFonts w:hint="eastAsia" w:cs="宋体"/>
          <w:b/>
          <w:bCs/>
          <w:color w:val="FF0000"/>
          <w:kern w:val="0"/>
          <w:sz w:val="28"/>
          <w:szCs w:val="24"/>
          <w:lang w:val="en-US" w:eastAsia="zh-CN" w:bidi="ar-SA"/>
        </w:rPr>
      </w:pPr>
      <w:r>
        <w:rPr>
          <w:rFonts w:hint="eastAsia" w:cs="宋体"/>
          <w:b/>
          <w:bCs/>
          <w:color w:val="FF0000"/>
          <w:kern w:val="0"/>
          <w:sz w:val="28"/>
          <w:szCs w:val="24"/>
          <w:lang w:val="en-US" w:eastAsia="zh-CN" w:bidi="ar-SA"/>
        </w:rPr>
        <w:t>备注：供货方负责上牌，采购方负责车辆购置税的购置及保险。</w:t>
      </w:r>
    </w:p>
    <w:p w14:paraId="300C533C">
      <w:pPr>
        <w:spacing w:line="360" w:lineRule="auto"/>
        <w:ind w:firstLine="562"/>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三、售后服务要求</w:t>
      </w:r>
    </w:p>
    <w:p w14:paraId="02E91B02">
      <w:pPr>
        <w:pStyle w:val="230"/>
        <w:keepNext w:val="0"/>
        <w:keepLines w:val="0"/>
        <w:pageBreakBefore w:val="0"/>
        <w:kinsoku/>
        <w:wordWrap/>
        <w:overflowPunct/>
        <w:topLinePunct w:val="0"/>
        <w:autoSpaceDE/>
        <w:autoSpaceDN/>
        <w:bidi w:val="0"/>
        <w:adjustRightInd/>
        <w:snapToGrid/>
        <w:spacing w:line="460" w:lineRule="exact"/>
        <w:ind w:left="0" w:leftChars="0" w:firstLine="480" w:firstLineChars="200"/>
        <w:textAlignment w:val="auto"/>
        <w:rPr>
          <w:rFonts w:hint="eastAsia" w:ascii="宋体" w:hAnsi="宋体" w:eastAsia="宋体" w:cs="宋体"/>
          <w:color w:val="auto"/>
          <w:kern w:val="0"/>
          <w:sz w:val="24"/>
          <w:szCs w:val="22"/>
          <w:lang w:val="en-US" w:eastAsia="zh-CN" w:bidi="ar-SA"/>
        </w:rPr>
      </w:pPr>
      <w:r>
        <w:rPr>
          <w:rFonts w:hint="eastAsia" w:ascii="宋体" w:hAnsi="宋体" w:eastAsia="宋体" w:cs="宋体"/>
          <w:color w:val="auto"/>
          <w:kern w:val="0"/>
          <w:sz w:val="24"/>
          <w:szCs w:val="22"/>
          <w:lang w:val="en-US" w:eastAsia="zh-CN" w:bidi="ar-SA"/>
        </w:rPr>
        <w:t xml:space="preserve">售后服务响应：包括故障响应时间、故障处理办法、质保期内服务方式、质保期外服务方式、售后服务网络及售后机构设置、人员配备。 </w:t>
      </w:r>
    </w:p>
    <w:p w14:paraId="4C2D043E">
      <w:pPr>
        <w:pStyle w:val="230"/>
        <w:keepNext w:val="0"/>
        <w:keepLines w:val="0"/>
        <w:pageBreakBefore w:val="0"/>
        <w:kinsoku/>
        <w:wordWrap/>
        <w:overflowPunct/>
        <w:topLinePunct w:val="0"/>
        <w:autoSpaceDE/>
        <w:autoSpaceDN/>
        <w:bidi w:val="0"/>
        <w:adjustRightInd/>
        <w:snapToGrid/>
        <w:spacing w:line="460" w:lineRule="exact"/>
        <w:ind w:left="0" w:leftChars="0" w:firstLine="480" w:firstLineChars="200"/>
        <w:textAlignment w:val="auto"/>
        <w:rPr>
          <w:rFonts w:hint="eastAsia" w:ascii="宋体" w:hAnsi="宋体" w:eastAsia="宋体" w:cs="宋体"/>
          <w:color w:val="auto"/>
          <w:kern w:val="0"/>
          <w:sz w:val="24"/>
          <w:szCs w:val="22"/>
          <w:lang w:val="en-US" w:eastAsia="zh-CN" w:bidi="ar-SA"/>
        </w:rPr>
      </w:pPr>
      <w:r>
        <w:rPr>
          <w:rFonts w:hint="eastAsia" w:ascii="宋体" w:hAnsi="宋体" w:eastAsia="宋体" w:cs="宋体"/>
          <w:color w:val="auto"/>
          <w:kern w:val="0"/>
          <w:sz w:val="24"/>
          <w:szCs w:val="22"/>
          <w:lang w:val="en-US" w:eastAsia="zh-CN" w:bidi="ar-SA"/>
        </w:rPr>
        <w:t xml:space="preserve">1.故障处理：投标人接到车辆实际使用人故障报养通知后，工程技术人员应在 12 小时内提供技术支持服务，解决问题，无法在 12 小时内解决的，应在 24 小时内提供备用配件，使用户能够正常使用。 </w:t>
      </w:r>
    </w:p>
    <w:p w14:paraId="344493CA">
      <w:pPr>
        <w:pStyle w:val="230"/>
        <w:keepNext w:val="0"/>
        <w:keepLines w:val="0"/>
        <w:pageBreakBefore w:val="0"/>
        <w:kinsoku/>
        <w:wordWrap/>
        <w:overflowPunct/>
        <w:topLinePunct w:val="0"/>
        <w:autoSpaceDE/>
        <w:autoSpaceDN/>
        <w:bidi w:val="0"/>
        <w:adjustRightInd/>
        <w:snapToGrid/>
        <w:spacing w:line="460" w:lineRule="exact"/>
        <w:ind w:left="0" w:leftChars="0" w:firstLine="480" w:firstLineChars="200"/>
        <w:textAlignment w:val="auto"/>
        <w:rPr>
          <w:rFonts w:hint="eastAsia" w:ascii="宋体" w:hAnsi="宋体" w:eastAsia="宋体" w:cs="宋体"/>
          <w:color w:val="auto"/>
          <w:kern w:val="0"/>
          <w:sz w:val="24"/>
          <w:szCs w:val="22"/>
          <w:lang w:val="en-US" w:eastAsia="zh-CN" w:bidi="ar-SA"/>
        </w:rPr>
      </w:pPr>
      <w:r>
        <w:rPr>
          <w:rFonts w:hint="eastAsia" w:ascii="宋体" w:hAnsi="宋体" w:eastAsia="宋体" w:cs="宋体"/>
          <w:color w:val="auto"/>
          <w:kern w:val="0"/>
          <w:sz w:val="24"/>
          <w:szCs w:val="22"/>
          <w:lang w:val="en-US" w:eastAsia="zh-CN" w:bidi="ar-SA"/>
        </w:rPr>
        <w:t xml:space="preserve">2.车辆操作系统如有常规性的更新，供应商应在更新开始日起 7 日内为采购人提供对等的系统升级服务。 </w:t>
      </w:r>
    </w:p>
    <w:p w14:paraId="579E2A0A">
      <w:pPr>
        <w:pStyle w:val="230"/>
        <w:keepNext w:val="0"/>
        <w:keepLines w:val="0"/>
        <w:pageBreakBefore w:val="0"/>
        <w:kinsoku/>
        <w:wordWrap/>
        <w:overflowPunct/>
        <w:topLinePunct w:val="0"/>
        <w:autoSpaceDE/>
        <w:autoSpaceDN/>
        <w:bidi w:val="0"/>
        <w:adjustRightInd/>
        <w:snapToGrid/>
        <w:spacing w:line="460" w:lineRule="exact"/>
        <w:ind w:left="0" w:leftChars="0" w:firstLine="480" w:firstLineChars="200"/>
        <w:textAlignment w:val="auto"/>
        <w:rPr>
          <w:rFonts w:hint="eastAsia" w:ascii="宋体" w:hAnsi="宋体" w:eastAsia="宋体" w:cs="宋体"/>
          <w:color w:val="auto"/>
          <w:kern w:val="0"/>
          <w:sz w:val="24"/>
          <w:szCs w:val="22"/>
          <w:lang w:val="en-US" w:eastAsia="zh-CN" w:bidi="ar-SA"/>
        </w:rPr>
      </w:pPr>
      <w:r>
        <w:rPr>
          <w:rFonts w:hint="eastAsia" w:ascii="宋体" w:hAnsi="宋体" w:eastAsia="宋体" w:cs="宋体"/>
          <w:color w:val="auto"/>
          <w:kern w:val="0"/>
          <w:sz w:val="24"/>
          <w:szCs w:val="22"/>
          <w:lang w:val="en-US" w:eastAsia="zh-CN" w:bidi="ar-SA"/>
        </w:rPr>
        <w:t>3.投标人应承诺质保期后终身提供优惠的技术支持和维修服务，保证采购人能及时购买所需的备品备件和易损件。货物的维修、部件更换只收取材料成本费用；维修工时费终身全免。</w:t>
      </w:r>
    </w:p>
    <w:p w14:paraId="2CF0FA73">
      <w:pPr>
        <w:pStyle w:val="230"/>
        <w:keepNext w:val="0"/>
        <w:keepLines w:val="0"/>
        <w:pageBreakBefore w:val="0"/>
        <w:kinsoku/>
        <w:wordWrap/>
        <w:overflowPunct/>
        <w:topLinePunct w:val="0"/>
        <w:autoSpaceDE/>
        <w:autoSpaceDN/>
        <w:bidi w:val="0"/>
        <w:adjustRightInd/>
        <w:snapToGrid/>
        <w:spacing w:line="460" w:lineRule="exact"/>
        <w:ind w:left="0" w:leftChars="0" w:firstLine="480" w:firstLineChars="200"/>
        <w:textAlignment w:val="auto"/>
        <w:rPr>
          <w:rFonts w:hint="eastAsia" w:ascii="宋体" w:hAnsi="宋体" w:eastAsia="宋体" w:cs="宋体"/>
          <w:color w:val="auto"/>
          <w:kern w:val="0"/>
          <w:sz w:val="24"/>
          <w:szCs w:val="22"/>
          <w:lang w:val="en-US" w:eastAsia="zh-CN" w:bidi="ar-SA"/>
        </w:rPr>
      </w:pPr>
      <w:r>
        <w:rPr>
          <w:rFonts w:hint="eastAsia" w:ascii="宋体" w:hAnsi="宋体" w:eastAsia="宋体" w:cs="宋体"/>
          <w:color w:val="auto"/>
          <w:kern w:val="0"/>
          <w:sz w:val="24"/>
          <w:szCs w:val="22"/>
          <w:lang w:val="en-US" w:eastAsia="zh-CN" w:bidi="ar-SA"/>
        </w:rPr>
        <w:t>4.投标人中标后应协助采购人办理购置税及</w:t>
      </w:r>
      <w:r>
        <w:rPr>
          <w:rFonts w:hint="eastAsia" w:cs="宋体"/>
          <w:color w:val="auto"/>
          <w:kern w:val="0"/>
          <w:sz w:val="24"/>
          <w:szCs w:val="22"/>
          <w:lang w:val="en-US" w:eastAsia="zh-CN" w:bidi="ar-SA"/>
        </w:rPr>
        <w:t>保险</w:t>
      </w:r>
      <w:r>
        <w:rPr>
          <w:rFonts w:hint="eastAsia" w:ascii="宋体" w:hAnsi="宋体" w:eastAsia="宋体" w:cs="宋体"/>
          <w:color w:val="auto"/>
          <w:kern w:val="0"/>
          <w:sz w:val="24"/>
          <w:szCs w:val="22"/>
          <w:lang w:val="en-US" w:eastAsia="zh-CN" w:bidi="ar-SA"/>
        </w:rPr>
        <w:t>事宜。</w:t>
      </w:r>
    </w:p>
    <w:p w14:paraId="7AF48483">
      <w:pPr>
        <w:pStyle w:val="230"/>
        <w:keepNext w:val="0"/>
        <w:keepLines w:val="0"/>
        <w:pageBreakBefore w:val="0"/>
        <w:kinsoku/>
        <w:wordWrap/>
        <w:overflowPunct/>
        <w:topLinePunct w:val="0"/>
        <w:autoSpaceDE/>
        <w:autoSpaceDN/>
        <w:bidi w:val="0"/>
        <w:adjustRightInd/>
        <w:snapToGrid/>
        <w:spacing w:line="460" w:lineRule="exact"/>
        <w:ind w:left="0" w:leftChars="0" w:firstLine="480" w:firstLineChars="200"/>
        <w:textAlignment w:val="auto"/>
        <w:rPr>
          <w:rFonts w:hint="eastAsia" w:ascii="宋体" w:hAnsi="宋体" w:eastAsia="宋体" w:cs="宋体"/>
          <w:color w:val="auto"/>
          <w:kern w:val="0"/>
          <w:sz w:val="24"/>
          <w:szCs w:val="22"/>
          <w:lang w:val="en-US" w:eastAsia="zh-CN" w:bidi="ar-SA"/>
        </w:rPr>
      </w:pPr>
    </w:p>
    <w:p w14:paraId="09027489">
      <w:pPr>
        <w:widowControl/>
        <w:spacing w:line="360" w:lineRule="auto"/>
        <w:ind w:firstLine="562"/>
        <w:rPr>
          <w:rFonts w:hint="eastAsia" w:ascii="宋体" w:hAnsi="宋体" w:cs="仿宋"/>
          <w:b/>
          <w:sz w:val="28"/>
          <w:szCs w:val="28"/>
        </w:rPr>
      </w:pPr>
      <w:r>
        <w:rPr>
          <w:rFonts w:hint="eastAsia" w:ascii="宋体" w:hAnsi="宋体" w:cs="仿宋"/>
          <w:b/>
          <w:sz w:val="24"/>
          <w:szCs w:val="24"/>
        </w:rPr>
        <w:t>四、培训要求</w:t>
      </w:r>
    </w:p>
    <w:p w14:paraId="36B80058">
      <w:pPr>
        <w:pStyle w:val="230"/>
        <w:keepNext w:val="0"/>
        <w:keepLines w:val="0"/>
        <w:pageBreakBefore w:val="0"/>
        <w:kinsoku/>
        <w:wordWrap/>
        <w:overflowPunct/>
        <w:topLinePunct w:val="0"/>
        <w:autoSpaceDE/>
        <w:autoSpaceDN/>
        <w:bidi w:val="0"/>
        <w:adjustRightInd/>
        <w:snapToGrid/>
        <w:spacing w:line="460" w:lineRule="exact"/>
        <w:ind w:left="0" w:leftChars="0" w:firstLine="480" w:firstLineChars="200"/>
        <w:textAlignment w:val="auto"/>
        <w:rPr>
          <w:rFonts w:hint="eastAsia" w:ascii="宋体" w:hAnsi="宋体" w:eastAsia="宋体" w:cs="宋体"/>
          <w:color w:val="auto"/>
          <w:kern w:val="0"/>
          <w:sz w:val="24"/>
          <w:szCs w:val="22"/>
          <w:lang w:val="en-US" w:eastAsia="zh-CN" w:bidi="ar-SA"/>
        </w:rPr>
      </w:pPr>
      <w:r>
        <w:rPr>
          <w:rFonts w:hint="eastAsia" w:ascii="宋体" w:hAnsi="宋体" w:eastAsia="宋体" w:cs="宋体"/>
          <w:color w:val="auto"/>
          <w:kern w:val="0"/>
          <w:sz w:val="24"/>
          <w:szCs w:val="22"/>
          <w:lang w:val="en-US" w:eastAsia="zh-CN" w:bidi="ar-SA"/>
        </w:rPr>
        <w:t xml:space="preserve">1.投标人应提供不少于1-2个工作日的交付培训，由投标人给出培训计划（内容、次数、时间、课时数、教材等），所有培训费用，包括资料费、授课费、培训人员食宿补贴、以及其它与培训有关费用均由投标人承担。 </w:t>
      </w:r>
    </w:p>
    <w:p w14:paraId="1356B9D7">
      <w:pPr>
        <w:pStyle w:val="230"/>
        <w:keepNext w:val="0"/>
        <w:keepLines w:val="0"/>
        <w:pageBreakBefore w:val="0"/>
        <w:kinsoku/>
        <w:wordWrap/>
        <w:overflowPunct/>
        <w:topLinePunct w:val="0"/>
        <w:autoSpaceDE/>
        <w:autoSpaceDN/>
        <w:bidi w:val="0"/>
        <w:adjustRightInd/>
        <w:snapToGrid/>
        <w:spacing w:line="460" w:lineRule="exact"/>
        <w:ind w:left="0" w:leftChars="0" w:firstLine="480" w:firstLineChars="200"/>
        <w:textAlignment w:val="auto"/>
        <w:rPr>
          <w:rFonts w:hint="eastAsia" w:ascii="宋体" w:hAnsi="宋体" w:eastAsia="宋体" w:cs="宋体"/>
          <w:color w:val="auto"/>
          <w:kern w:val="0"/>
          <w:sz w:val="24"/>
          <w:szCs w:val="22"/>
          <w:lang w:val="en-US" w:eastAsia="zh-CN" w:bidi="ar-SA"/>
        </w:rPr>
      </w:pPr>
      <w:r>
        <w:rPr>
          <w:rFonts w:hint="eastAsia" w:ascii="宋体" w:hAnsi="宋体" w:eastAsia="宋体" w:cs="宋体"/>
          <w:color w:val="auto"/>
          <w:kern w:val="0"/>
          <w:sz w:val="24"/>
          <w:szCs w:val="22"/>
          <w:lang w:val="en-US" w:eastAsia="zh-CN" w:bidi="ar-SA"/>
        </w:rPr>
        <w:t xml:space="preserve">2.根据设备实际使用单位操作人员的岗位变动，投标人应按照使用单位要求，免费提供培训，保证设备使用人员能够熟练操作该设备。 </w:t>
      </w:r>
    </w:p>
    <w:p w14:paraId="407999F2">
      <w:pPr>
        <w:widowControl/>
        <w:spacing w:line="360" w:lineRule="auto"/>
        <w:ind w:firstLine="562"/>
        <w:rPr>
          <w:rFonts w:hint="eastAsia" w:ascii="宋体" w:hAnsi="宋体" w:cs="仿宋"/>
          <w:b/>
          <w:sz w:val="24"/>
          <w:szCs w:val="24"/>
        </w:rPr>
      </w:pPr>
      <w:r>
        <w:rPr>
          <w:rFonts w:hint="eastAsia" w:ascii="宋体" w:hAnsi="宋体" w:cs="仿宋"/>
          <w:b/>
          <w:sz w:val="24"/>
          <w:szCs w:val="24"/>
        </w:rPr>
        <w:t xml:space="preserve">五、项目验收标准 </w:t>
      </w:r>
    </w:p>
    <w:p w14:paraId="7FA61849">
      <w:pPr>
        <w:widowControl/>
        <w:spacing w:line="360" w:lineRule="auto"/>
        <w:ind w:firstLine="560"/>
        <w:rPr>
          <w:rFonts w:hint="eastAsia" w:ascii="宋体" w:hAnsi="宋体" w:eastAsia="宋体" w:cs="宋体"/>
          <w:color w:val="auto"/>
          <w:kern w:val="0"/>
          <w:sz w:val="24"/>
          <w:szCs w:val="22"/>
          <w:lang w:val="en-US" w:eastAsia="zh-CN" w:bidi="ar-SA"/>
        </w:rPr>
      </w:pPr>
      <w:r>
        <w:rPr>
          <w:rFonts w:hint="eastAsia" w:ascii="宋体" w:hAnsi="宋体" w:eastAsia="宋体" w:cs="宋体"/>
          <w:color w:val="auto"/>
          <w:kern w:val="0"/>
          <w:sz w:val="24"/>
          <w:szCs w:val="22"/>
          <w:lang w:val="en-US" w:eastAsia="zh-CN" w:bidi="ar-SA"/>
        </w:rPr>
        <w:t xml:space="preserve">1.货物到达现场后，中标人应在使用单位人员在场情况下当面共同清点、检查外观，作出记录，双方签字确认。 </w:t>
      </w:r>
    </w:p>
    <w:p w14:paraId="7AD51FFF">
      <w:pPr>
        <w:widowControl/>
        <w:spacing w:line="360" w:lineRule="auto"/>
        <w:ind w:firstLine="560"/>
        <w:rPr>
          <w:rFonts w:hint="eastAsia" w:ascii="宋体" w:hAnsi="宋体" w:eastAsia="宋体" w:cs="宋体"/>
          <w:color w:val="auto"/>
          <w:kern w:val="0"/>
          <w:sz w:val="24"/>
          <w:szCs w:val="22"/>
          <w:lang w:val="en-US" w:eastAsia="zh-CN" w:bidi="ar-SA"/>
        </w:rPr>
      </w:pPr>
      <w:r>
        <w:rPr>
          <w:rFonts w:hint="eastAsia" w:ascii="宋体" w:hAnsi="宋体" w:eastAsia="宋体" w:cs="宋体"/>
          <w:color w:val="auto"/>
          <w:kern w:val="0"/>
          <w:sz w:val="24"/>
          <w:szCs w:val="22"/>
          <w:lang w:val="en-US" w:eastAsia="zh-CN" w:bidi="ar-SA"/>
        </w:rPr>
        <w:t xml:space="preserve">2.中标人应保证货物到达用户所在地完好无损，如有缺漏、损坏，由中标人负责调换、补齐或赔偿。 </w:t>
      </w:r>
    </w:p>
    <w:p w14:paraId="139EB38D">
      <w:pPr>
        <w:widowControl/>
        <w:spacing w:line="360" w:lineRule="auto"/>
        <w:ind w:firstLine="560"/>
        <w:rPr>
          <w:rFonts w:hint="eastAsia" w:ascii="宋体" w:hAnsi="宋体" w:eastAsia="宋体" w:cs="宋体"/>
          <w:color w:val="auto"/>
          <w:kern w:val="0"/>
          <w:sz w:val="24"/>
          <w:szCs w:val="22"/>
          <w:lang w:val="en-US" w:eastAsia="zh-CN" w:bidi="ar-SA"/>
        </w:rPr>
      </w:pPr>
      <w:r>
        <w:rPr>
          <w:rFonts w:hint="eastAsia" w:ascii="宋体" w:hAnsi="宋体" w:eastAsia="宋体" w:cs="宋体"/>
          <w:color w:val="auto"/>
          <w:kern w:val="0"/>
          <w:sz w:val="24"/>
          <w:szCs w:val="22"/>
          <w:lang w:val="en-US" w:eastAsia="zh-CN" w:bidi="ar-SA"/>
        </w:rPr>
        <w:t xml:space="preserve">3.中标人应提供完备的技术资料、装箱单和合格证等，并派遣专业技术人员进行现场调试。验收合格条件如下： </w:t>
      </w:r>
    </w:p>
    <w:p w14:paraId="2990676B">
      <w:pPr>
        <w:widowControl/>
        <w:spacing w:line="360" w:lineRule="auto"/>
        <w:ind w:firstLine="560"/>
        <w:rPr>
          <w:rFonts w:hint="eastAsia" w:ascii="宋体" w:hAnsi="宋体" w:eastAsia="宋体" w:cs="宋体"/>
          <w:color w:val="auto"/>
          <w:kern w:val="0"/>
          <w:sz w:val="24"/>
          <w:szCs w:val="22"/>
          <w:lang w:val="en-US" w:eastAsia="zh-CN" w:bidi="ar-SA"/>
        </w:rPr>
      </w:pPr>
      <w:r>
        <w:rPr>
          <w:rFonts w:hint="eastAsia" w:ascii="宋体" w:hAnsi="宋体" w:eastAsia="宋体" w:cs="宋体"/>
          <w:color w:val="auto"/>
          <w:kern w:val="0"/>
          <w:sz w:val="24"/>
          <w:szCs w:val="22"/>
          <w:lang w:val="en-US" w:eastAsia="zh-CN" w:bidi="ar-SA"/>
        </w:rPr>
        <w:t xml:space="preserve">3.1 设备技术参数与采购合同一致，性能指标达到规定的标准。 </w:t>
      </w:r>
    </w:p>
    <w:p w14:paraId="32FD6DB2">
      <w:pPr>
        <w:widowControl/>
        <w:spacing w:line="360" w:lineRule="auto"/>
        <w:ind w:firstLine="560"/>
        <w:rPr>
          <w:rFonts w:hint="eastAsia" w:ascii="宋体" w:hAnsi="宋体" w:eastAsia="宋体" w:cs="宋体"/>
          <w:color w:val="auto"/>
          <w:kern w:val="0"/>
          <w:sz w:val="24"/>
          <w:szCs w:val="22"/>
          <w:lang w:val="en-US" w:eastAsia="zh-CN" w:bidi="ar-SA"/>
        </w:rPr>
      </w:pPr>
      <w:r>
        <w:rPr>
          <w:rFonts w:hint="eastAsia" w:ascii="宋体" w:hAnsi="宋体" w:eastAsia="宋体" w:cs="宋体"/>
          <w:color w:val="auto"/>
          <w:kern w:val="0"/>
          <w:sz w:val="24"/>
          <w:szCs w:val="22"/>
          <w:lang w:val="en-US" w:eastAsia="zh-CN" w:bidi="ar-SA"/>
        </w:rPr>
        <w:t xml:space="preserve">3.2 产品合格证等资料齐全。 </w:t>
      </w:r>
    </w:p>
    <w:p w14:paraId="6347B241">
      <w:pPr>
        <w:widowControl/>
        <w:spacing w:line="360" w:lineRule="auto"/>
        <w:ind w:firstLine="560"/>
        <w:rPr>
          <w:rFonts w:hint="eastAsia" w:ascii="宋体" w:hAnsi="宋体" w:eastAsia="宋体" w:cs="宋体"/>
          <w:color w:val="auto"/>
          <w:kern w:val="0"/>
          <w:sz w:val="24"/>
          <w:szCs w:val="22"/>
          <w:lang w:val="en-US" w:eastAsia="zh-CN" w:bidi="ar-SA"/>
        </w:rPr>
      </w:pPr>
      <w:r>
        <w:rPr>
          <w:rFonts w:hint="eastAsia" w:ascii="宋体" w:hAnsi="宋体" w:eastAsia="宋体" w:cs="宋体"/>
          <w:color w:val="auto"/>
          <w:kern w:val="0"/>
          <w:sz w:val="24"/>
          <w:szCs w:val="22"/>
          <w:lang w:val="en-US" w:eastAsia="zh-CN" w:bidi="ar-SA"/>
        </w:rPr>
        <w:t xml:space="preserve">3.3 在规定时间内完中标货并验收，并经采购人确认。 </w:t>
      </w:r>
    </w:p>
    <w:p w14:paraId="169516FE">
      <w:pPr>
        <w:widowControl/>
        <w:spacing w:line="360" w:lineRule="auto"/>
        <w:ind w:firstLine="560"/>
        <w:rPr>
          <w:rFonts w:hint="eastAsia" w:ascii="宋体" w:hAnsi="宋体" w:eastAsia="宋体" w:cs="宋体"/>
          <w:color w:val="auto"/>
          <w:kern w:val="0"/>
          <w:sz w:val="24"/>
          <w:szCs w:val="22"/>
          <w:lang w:val="en-US" w:eastAsia="zh-CN" w:bidi="ar-SA"/>
        </w:rPr>
      </w:pPr>
      <w:r>
        <w:rPr>
          <w:rFonts w:hint="eastAsia" w:ascii="宋体" w:hAnsi="宋体" w:eastAsia="宋体" w:cs="宋体"/>
          <w:color w:val="auto"/>
          <w:kern w:val="0"/>
          <w:sz w:val="24"/>
          <w:szCs w:val="22"/>
          <w:lang w:val="en-US" w:eastAsia="zh-CN" w:bidi="ar-SA"/>
        </w:rPr>
        <w:t xml:space="preserve">4.中标人提供的货物未达到招标文件规定要求，且对采购人造成损失的，由中标人承担一切责任，并赔偿所造成的损失。 </w:t>
      </w:r>
    </w:p>
    <w:p w14:paraId="05ADF179">
      <w:pPr>
        <w:widowControl/>
        <w:spacing w:line="360" w:lineRule="auto"/>
        <w:ind w:firstLine="560"/>
        <w:rPr>
          <w:rFonts w:hint="eastAsia" w:ascii="宋体" w:hAnsi="宋体" w:eastAsia="宋体" w:cs="宋体"/>
          <w:color w:val="auto"/>
          <w:kern w:val="0"/>
          <w:sz w:val="24"/>
          <w:szCs w:val="22"/>
          <w:lang w:val="en-US" w:eastAsia="zh-CN" w:bidi="ar-SA"/>
        </w:rPr>
      </w:pPr>
      <w:r>
        <w:rPr>
          <w:rFonts w:hint="eastAsia" w:ascii="宋体" w:hAnsi="宋体" w:eastAsia="宋体" w:cs="宋体"/>
          <w:color w:val="auto"/>
          <w:kern w:val="0"/>
          <w:sz w:val="24"/>
          <w:szCs w:val="22"/>
          <w:lang w:val="en-US" w:eastAsia="zh-CN" w:bidi="ar-SA"/>
        </w:rPr>
        <w:t xml:space="preserve">5.采购人需要制造厂家对中标人交付的产品（包括质量、技术参数等）进行确认的，制造厂家应予以配合，并出具书面意见。产品包装材料归采购人所有。 </w:t>
      </w:r>
    </w:p>
    <w:p w14:paraId="43A1EE93">
      <w:pPr>
        <w:widowControl/>
        <w:spacing w:line="360" w:lineRule="auto"/>
        <w:ind w:firstLine="560"/>
        <w:rPr>
          <w:rFonts w:hint="eastAsia" w:ascii="宋体" w:hAnsi="宋体" w:eastAsia="宋体" w:cs="宋体"/>
          <w:color w:val="auto"/>
          <w:kern w:val="0"/>
          <w:sz w:val="24"/>
          <w:szCs w:val="22"/>
          <w:lang w:val="en-US" w:eastAsia="zh-CN" w:bidi="ar-SA"/>
        </w:rPr>
      </w:pPr>
      <w:r>
        <w:rPr>
          <w:rFonts w:hint="eastAsia" w:ascii="宋体" w:hAnsi="宋体" w:eastAsia="宋体" w:cs="宋体"/>
          <w:color w:val="auto"/>
          <w:kern w:val="0"/>
          <w:sz w:val="24"/>
          <w:szCs w:val="22"/>
          <w:lang w:val="en-US" w:eastAsia="zh-CN" w:bidi="ar-SA"/>
        </w:rPr>
        <w:t xml:space="preserve">6.国家规定需由法定机构进行验收的，采购人必须邀请相关机构进行验收。 </w:t>
      </w:r>
    </w:p>
    <w:p w14:paraId="4A2D8555">
      <w:pPr>
        <w:widowControl/>
        <w:spacing w:line="360" w:lineRule="auto"/>
        <w:ind w:firstLine="560"/>
        <w:rPr>
          <w:rFonts w:hint="eastAsia" w:ascii="宋体" w:hAnsi="宋体" w:eastAsia="宋体" w:cs="宋体"/>
          <w:color w:val="auto"/>
          <w:kern w:val="0"/>
          <w:sz w:val="24"/>
          <w:szCs w:val="22"/>
          <w:lang w:val="en-US" w:eastAsia="zh-CN" w:bidi="ar-SA"/>
        </w:rPr>
      </w:pPr>
      <w:r>
        <w:rPr>
          <w:rFonts w:hint="eastAsia" w:ascii="宋体" w:hAnsi="宋体" w:eastAsia="宋体" w:cs="宋体"/>
          <w:color w:val="auto"/>
          <w:kern w:val="0"/>
          <w:sz w:val="24"/>
          <w:szCs w:val="22"/>
          <w:lang w:val="en-US" w:eastAsia="zh-CN" w:bidi="ar-SA"/>
        </w:rPr>
        <w:t>7.采购人最终确认验收的，应当出具验收书。</w:t>
      </w:r>
    </w:p>
    <w:p w14:paraId="26F31F1A">
      <w:pPr>
        <w:widowControl/>
        <w:spacing w:line="360" w:lineRule="auto"/>
        <w:ind w:firstLine="562"/>
        <w:rPr>
          <w:rFonts w:hint="eastAsia" w:ascii="宋体" w:hAnsi="宋体" w:cs="仿宋"/>
          <w:b/>
          <w:sz w:val="24"/>
          <w:szCs w:val="24"/>
        </w:rPr>
      </w:pPr>
      <w:r>
        <w:rPr>
          <w:rFonts w:hint="eastAsia" w:ascii="宋体" w:hAnsi="宋体" w:cs="仿宋"/>
          <w:b/>
          <w:sz w:val="24"/>
          <w:szCs w:val="24"/>
        </w:rPr>
        <w:t>六、其它要求</w:t>
      </w:r>
    </w:p>
    <w:p w14:paraId="35494604">
      <w:pPr>
        <w:widowControl/>
        <w:spacing w:line="360" w:lineRule="auto"/>
        <w:ind w:firstLine="560"/>
        <w:rPr>
          <w:rFonts w:hint="eastAsia" w:ascii="宋体" w:hAnsi="宋体" w:eastAsia="宋体" w:cs="宋体"/>
          <w:color w:val="auto"/>
          <w:kern w:val="0"/>
          <w:sz w:val="24"/>
          <w:szCs w:val="22"/>
          <w:lang w:val="en-US" w:eastAsia="zh-CN" w:bidi="ar-SA"/>
        </w:rPr>
      </w:pPr>
      <w:r>
        <w:rPr>
          <w:rFonts w:hint="eastAsia" w:ascii="宋体" w:hAnsi="宋体" w:eastAsia="宋体" w:cs="宋体"/>
          <w:color w:val="auto"/>
          <w:kern w:val="0"/>
          <w:sz w:val="24"/>
          <w:szCs w:val="22"/>
          <w:lang w:val="en-US" w:eastAsia="zh-CN" w:bidi="ar-SA"/>
        </w:rPr>
        <w:t xml:space="preserve">1.所供的殡仪车均采用原厂生产的品牌整车，保持了原车的高质量和高性能。 </w:t>
      </w:r>
    </w:p>
    <w:p w14:paraId="5AB45AF6">
      <w:pPr>
        <w:widowControl/>
        <w:spacing w:line="360" w:lineRule="auto"/>
        <w:ind w:firstLine="560"/>
        <w:rPr>
          <w:rFonts w:hint="eastAsia" w:ascii="宋体" w:hAnsi="宋体" w:eastAsia="宋体" w:cs="宋体"/>
          <w:color w:val="auto"/>
          <w:kern w:val="0"/>
          <w:sz w:val="24"/>
          <w:szCs w:val="22"/>
          <w:lang w:val="en-US" w:eastAsia="zh-CN" w:bidi="ar-SA"/>
        </w:rPr>
      </w:pPr>
      <w:r>
        <w:rPr>
          <w:rFonts w:hint="eastAsia" w:ascii="宋体" w:hAnsi="宋体" w:eastAsia="宋体" w:cs="宋体"/>
          <w:color w:val="auto"/>
          <w:kern w:val="0"/>
          <w:sz w:val="24"/>
          <w:szCs w:val="22"/>
          <w:lang w:val="en-US" w:eastAsia="zh-CN" w:bidi="ar-SA"/>
        </w:rPr>
        <w:t xml:space="preserve">2.所供货物应是全新、未使用过的产品，标识明显；货物外观清洁，字体清晰、明确。 </w:t>
      </w:r>
    </w:p>
    <w:p w14:paraId="25C4129C">
      <w:pPr>
        <w:widowControl/>
        <w:spacing w:line="360" w:lineRule="auto"/>
        <w:ind w:firstLine="560"/>
        <w:rPr>
          <w:rFonts w:hint="eastAsia" w:ascii="宋体" w:hAnsi="宋体" w:eastAsia="宋体" w:cs="宋体"/>
          <w:color w:val="auto"/>
          <w:kern w:val="0"/>
          <w:sz w:val="24"/>
          <w:szCs w:val="22"/>
          <w:lang w:val="en-US" w:eastAsia="zh-CN" w:bidi="ar-SA"/>
        </w:rPr>
      </w:pPr>
      <w:r>
        <w:rPr>
          <w:rFonts w:hint="eastAsia" w:ascii="宋体" w:hAnsi="宋体" w:eastAsia="宋体" w:cs="宋体"/>
          <w:color w:val="auto"/>
          <w:kern w:val="0"/>
          <w:sz w:val="24"/>
          <w:szCs w:val="22"/>
          <w:lang w:val="en-US" w:eastAsia="zh-CN" w:bidi="ar-SA"/>
        </w:rPr>
        <w:t>3.提供的殡仪车</w:t>
      </w:r>
      <w:r>
        <w:rPr>
          <w:rFonts w:hint="eastAsia" w:ascii="宋体" w:hAnsi="宋体" w:cs="宋体"/>
          <w:color w:val="auto"/>
          <w:kern w:val="0"/>
          <w:sz w:val="24"/>
          <w:szCs w:val="22"/>
          <w:lang w:val="en-US" w:eastAsia="zh-CN" w:bidi="ar-SA"/>
        </w:rPr>
        <w:t>须</w:t>
      </w:r>
      <w:r>
        <w:rPr>
          <w:rFonts w:hint="eastAsia" w:ascii="宋体" w:hAnsi="宋体" w:eastAsia="宋体" w:cs="宋体"/>
          <w:color w:val="auto"/>
          <w:kern w:val="0"/>
          <w:sz w:val="24"/>
          <w:szCs w:val="22"/>
          <w:lang w:val="en-US" w:eastAsia="zh-CN" w:bidi="ar-SA"/>
        </w:rPr>
        <w:t>已列入国家殡仪车产品目录，所有车辆手续正规完备。</w:t>
      </w:r>
    </w:p>
    <w:p w14:paraId="3DB6E8FB">
      <w:pPr>
        <w:widowControl/>
        <w:spacing w:line="360" w:lineRule="auto"/>
        <w:ind w:firstLine="560"/>
        <w:rPr>
          <w:rFonts w:hint="eastAsia" w:ascii="宋体" w:hAnsi="宋体" w:eastAsia="宋体" w:cs="宋体"/>
          <w:color w:val="auto"/>
          <w:kern w:val="0"/>
          <w:sz w:val="24"/>
          <w:szCs w:val="22"/>
          <w:lang w:val="en-US" w:eastAsia="zh-CN" w:bidi="ar-SA"/>
        </w:rPr>
      </w:pPr>
      <w:r>
        <w:rPr>
          <w:rFonts w:hint="eastAsia" w:ascii="宋体" w:hAnsi="宋体" w:eastAsia="宋体" w:cs="宋体"/>
          <w:color w:val="auto"/>
          <w:kern w:val="0"/>
          <w:sz w:val="24"/>
          <w:szCs w:val="22"/>
          <w:lang w:val="en-US" w:eastAsia="zh-CN" w:bidi="ar-SA"/>
        </w:rPr>
        <w:t xml:space="preserve">4.所供主要设备技术规格、标准、配置要求应符合采购人的需求。  </w:t>
      </w:r>
    </w:p>
    <w:p w14:paraId="6EEB7830">
      <w:pPr>
        <w:widowControl/>
        <w:spacing w:line="360" w:lineRule="auto"/>
        <w:ind w:firstLine="560"/>
        <w:rPr>
          <w:rFonts w:hint="eastAsia" w:ascii="宋体" w:hAnsi="宋体" w:eastAsia="宋体" w:cs="宋体"/>
          <w:color w:val="auto"/>
          <w:kern w:val="0"/>
          <w:sz w:val="24"/>
          <w:szCs w:val="22"/>
          <w:lang w:val="en-US" w:eastAsia="zh-CN" w:bidi="ar-SA"/>
        </w:rPr>
      </w:pPr>
      <w:r>
        <w:rPr>
          <w:rFonts w:hint="eastAsia" w:ascii="宋体" w:hAnsi="宋体" w:eastAsia="宋体" w:cs="宋体"/>
          <w:color w:val="auto"/>
          <w:kern w:val="0"/>
          <w:sz w:val="24"/>
          <w:szCs w:val="22"/>
          <w:lang w:val="en-US" w:eastAsia="zh-CN" w:bidi="ar-SA"/>
        </w:rPr>
        <w:t>5.所售的殡仪车随车配备“三包”服务卡，用户可在全国各地特约维修站享受完备的售后服务。</w:t>
      </w:r>
    </w:p>
    <w:p w14:paraId="51DD84FD">
      <w:pPr>
        <w:widowControl/>
        <w:spacing w:line="360" w:lineRule="auto"/>
        <w:ind w:firstLine="560"/>
        <w:rPr>
          <w:rFonts w:hint="eastAsia" w:ascii="宋体" w:hAnsi="宋体" w:eastAsia="宋体" w:cs="宋体"/>
          <w:color w:val="auto"/>
          <w:kern w:val="0"/>
          <w:sz w:val="24"/>
          <w:szCs w:val="22"/>
          <w:lang w:val="en-US" w:eastAsia="zh-CN" w:bidi="ar-SA"/>
        </w:rPr>
      </w:pPr>
      <w:r>
        <w:rPr>
          <w:rFonts w:hint="eastAsia" w:ascii="宋体" w:hAnsi="宋体" w:eastAsia="宋体" w:cs="宋体"/>
          <w:color w:val="auto"/>
          <w:kern w:val="0"/>
          <w:sz w:val="24"/>
          <w:szCs w:val="22"/>
          <w:lang w:val="en-US" w:eastAsia="zh-CN" w:bidi="ar-SA"/>
        </w:rPr>
        <w:t>6.以上技术要求为基础要求，中标后若发现投标文件的技术参数出现虚假应标者取消其合格中标人资格。</w:t>
      </w:r>
    </w:p>
    <w:p w14:paraId="2D416C3C">
      <w:pPr>
        <w:widowControl/>
        <w:spacing w:line="360" w:lineRule="auto"/>
        <w:ind w:firstLine="560"/>
        <w:rPr>
          <w:rFonts w:hint="default" w:ascii="宋体" w:hAnsi="宋体" w:eastAsia="宋体" w:cs="宋体"/>
          <w:color w:val="auto"/>
          <w:kern w:val="0"/>
          <w:sz w:val="24"/>
          <w:szCs w:val="22"/>
          <w:lang w:val="en-US" w:eastAsia="zh-CN" w:bidi="ar-SA"/>
        </w:rPr>
      </w:pPr>
      <w:r>
        <w:rPr>
          <w:rFonts w:hint="eastAsia" w:ascii="宋体" w:hAnsi="宋体" w:eastAsia="宋体" w:cs="宋体"/>
          <w:color w:val="auto"/>
          <w:kern w:val="0"/>
          <w:sz w:val="24"/>
          <w:szCs w:val="22"/>
          <w:lang w:val="en-US" w:eastAsia="zh-CN" w:bidi="ar-SA"/>
        </w:rPr>
        <w:t>7.投标的供应商须具备履行本项采购合同所必需的设备和专业技术能力和经营售后能力。</w:t>
      </w:r>
    </w:p>
    <w:p w14:paraId="5C7D0D6C">
      <w:pPr>
        <w:widowControl/>
        <w:spacing w:line="360" w:lineRule="auto"/>
        <w:ind w:firstLine="560"/>
        <w:rPr>
          <w:rFonts w:hint="eastAsia" w:ascii="宋体" w:hAnsi="宋体" w:eastAsia="宋体" w:cs="宋体"/>
          <w:color w:val="auto"/>
          <w:kern w:val="0"/>
          <w:sz w:val="24"/>
          <w:szCs w:val="22"/>
          <w:lang w:val="en-US" w:eastAsia="zh-CN" w:bidi="ar-SA"/>
        </w:rPr>
      </w:pPr>
      <w:r>
        <w:rPr>
          <w:rFonts w:hint="eastAsia" w:ascii="宋体" w:hAnsi="宋体" w:cs="宋体"/>
          <w:color w:val="auto"/>
          <w:kern w:val="0"/>
          <w:sz w:val="24"/>
          <w:szCs w:val="22"/>
          <w:lang w:val="en-US" w:eastAsia="zh-CN" w:bidi="ar-SA"/>
        </w:rPr>
        <w:t>8</w:t>
      </w:r>
      <w:r>
        <w:rPr>
          <w:rFonts w:hint="eastAsia" w:ascii="宋体" w:hAnsi="宋体" w:eastAsia="宋体" w:cs="宋体"/>
          <w:color w:val="auto"/>
          <w:kern w:val="0"/>
          <w:sz w:val="24"/>
          <w:szCs w:val="22"/>
          <w:lang w:val="en-US" w:eastAsia="zh-CN" w:bidi="ar-SA"/>
        </w:rPr>
        <w:t xml:space="preserve">.供应商不得将本项目进行分包和转包。 </w:t>
      </w:r>
    </w:p>
    <w:p w14:paraId="4A92ACA2">
      <w:pPr>
        <w:widowControl/>
        <w:spacing w:line="360" w:lineRule="auto"/>
        <w:ind w:firstLine="560"/>
        <w:rPr>
          <w:rFonts w:hint="eastAsia" w:ascii="宋体" w:hAnsi="宋体" w:eastAsia="宋体" w:cs="宋体"/>
          <w:color w:val="auto"/>
          <w:kern w:val="0"/>
          <w:sz w:val="24"/>
          <w:szCs w:val="22"/>
          <w:lang w:val="en-US" w:eastAsia="zh-CN" w:bidi="ar-SA"/>
        </w:rPr>
      </w:pPr>
      <w:r>
        <w:rPr>
          <w:rFonts w:hint="eastAsia" w:ascii="宋体" w:hAnsi="宋体" w:cs="宋体"/>
          <w:color w:val="auto"/>
          <w:kern w:val="0"/>
          <w:sz w:val="24"/>
          <w:szCs w:val="22"/>
          <w:lang w:val="en-US" w:eastAsia="zh-CN" w:bidi="ar-SA"/>
        </w:rPr>
        <w:t>9</w:t>
      </w:r>
      <w:r>
        <w:rPr>
          <w:rFonts w:hint="eastAsia" w:ascii="宋体" w:hAnsi="宋体" w:eastAsia="宋体" w:cs="宋体"/>
          <w:color w:val="auto"/>
          <w:kern w:val="0"/>
          <w:sz w:val="24"/>
          <w:szCs w:val="22"/>
          <w:lang w:val="en-US" w:eastAsia="zh-CN" w:bidi="ar-SA"/>
        </w:rPr>
        <w:t>.应能充分满足采购人的其他需求。</w:t>
      </w:r>
    </w:p>
    <w:p w14:paraId="5F512A91">
      <w:pPr>
        <w:spacing w:line="360" w:lineRule="auto"/>
        <w:ind w:firstLine="422"/>
        <w:rPr>
          <w:rFonts w:ascii="宋体" w:hAnsi="宋体"/>
          <w:b/>
          <w:sz w:val="24"/>
          <w:szCs w:val="24"/>
        </w:rPr>
      </w:pPr>
      <w:r>
        <w:rPr>
          <w:rFonts w:hint="eastAsia" w:ascii="宋体" w:hAnsi="宋体" w:cs="宋体"/>
          <w:b/>
          <w:sz w:val="24"/>
          <w:szCs w:val="24"/>
          <w:lang w:val="en-US" w:eastAsia="zh-CN"/>
        </w:rPr>
        <w:t>七</w:t>
      </w:r>
      <w:r>
        <w:rPr>
          <w:rFonts w:hint="eastAsia" w:ascii="宋体" w:hAnsi="宋体" w:eastAsia="宋体" w:cs="宋体"/>
          <w:b/>
          <w:sz w:val="24"/>
          <w:szCs w:val="24"/>
        </w:rPr>
        <w:t>、</w:t>
      </w:r>
      <w:r>
        <w:rPr>
          <w:rFonts w:hint="eastAsia" w:ascii="宋体" w:hAnsi="宋体"/>
          <w:b/>
          <w:sz w:val="24"/>
          <w:szCs w:val="24"/>
        </w:rPr>
        <w:t>报价要求</w:t>
      </w:r>
    </w:p>
    <w:p w14:paraId="3925B251">
      <w:pPr>
        <w:spacing w:line="360" w:lineRule="auto"/>
        <w:ind w:firstLine="422"/>
        <w:rPr>
          <w:rFonts w:ascii="宋体" w:hAnsi="宋体"/>
          <w:b/>
          <w:bCs/>
          <w:sz w:val="24"/>
          <w:szCs w:val="24"/>
          <w:u w:val="single"/>
        </w:rPr>
      </w:pPr>
      <w:r>
        <w:rPr>
          <w:rFonts w:hint="eastAsia" w:ascii="宋体" w:hAnsi="宋体"/>
          <w:b/>
          <w:bCs/>
          <w:sz w:val="24"/>
          <w:szCs w:val="24"/>
          <w:u w:val="single"/>
        </w:rPr>
        <w:t>1、本采购项目最高限价为人民币</w:t>
      </w:r>
      <w:r>
        <w:rPr>
          <w:rFonts w:hint="eastAsia" w:ascii="宋体" w:hAnsi="宋体"/>
          <w:b/>
          <w:bCs/>
          <w:sz w:val="24"/>
          <w:szCs w:val="24"/>
          <w:u w:val="single"/>
          <w:lang w:eastAsia="zh-CN"/>
        </w:rPr>
        <w:t>69万元</w:t>
      </w:r>
      <w:r>
        <w:rPr>
          <w:rFonts w:hint="eastAsia" w:ascii="宋体" w:hAnsi="宋体"/>
          <w:b/>
          <w:bCs/>
          <w:sz w:val="24"/>
          <w:szCs w:val="24"/>
          <w:u w:val="single"/>
        </w:rPr>
        <w:t>，采购人不接受高于此限价的投标文件，高于此限价的投标文件为无效投标。</w:t>
      </w:r>
    </w:p>
    <w:p w14:paraId="70358FB7">
      <w:pPr>
        <w:spacing w:line="360" w:lineRule="auto"/>
        <w:ind w:firstLine="420"/>
        <w:rPr>
          <w:rFonts w:ascii="宋体" w:hAnsi="宋体"/>
          <w:sz w:val="24"/>
          <w:szCs w:val="24"/>
        </w:rPr>
      </w:pPr>
      <w:r>
        <w:rPr>
          <w:rFonts w:hint="eastAsia" w:ascii="宋体" w:hAnsi="宋体"/>
          <w:sz w:val="24"/>
          <w:szCs w:val="24"/>
        </w:rPr>
        <w:t>2、供应商应在对采购项目内容、数量、质量和技术指标内容全部认可的前提下报价。无论情况如何，招标人均认为供应商已对所采购项目的所有条件有了充分了解。招标人对供应商做出的任何推论、理解和结论均不负责任。</w:t>
      </w:r>
    </w:p>
    <w:p w14:paraId="15D19221">
      <w:pPr>
        <w:spacing w:line="360" w:lineRule="auto"/>
        <w:ind w:firstLine="420"/>
        <w:rPr>
          <w:rFonts w:ascii="宋体" w:hAnsi="宋体"/>
          <w:sz w:val="24"/>
          <w:szCs w:val="24"/>
        </w:rPr>
      </w:pPr>
      <w:r>
        <w:rPr>
          <w:rFonts w:hint="eastAsia" w:ascii="宋体" w:hAnsi="宋体"/>
          <w:sz w:val="24"/>
          <w:szCs w:val="24"/>
        </w:rPr>
        <w:t>3、供应商在投标报价单中未填报综合单价、合价的清单项目，招标人视为已包括在清单计价的其他报价中，无论何种原因，结算时均不作调整。</w:t>
      </w:r>
    </w:p>
    <w:p w14:paraId="1E1C6215">
      <w:pPr>
        <w:spacing w:line="360" w:lineRule="auto"/>
        <w:ind w:firstLine="420"/>
        <w:rPr>
          <w:rFonts w:ascii="宋体" w:hAnsi="宋体"/>
          <w:sz w:val="24"/>
          <w:szCs w:val="24"/>
        </w:rPr>
      </w:pPr>
      <w:r>
        <w:rPr>
          <w:rFonts w:hint="eastAsia" w:ascii="宋体" w:hAnsi="宋体"/>
          <w:sz w:val="24"/>
          <w:szCs w:val="24"/>
        </w:rPr>
        <w:t>4、报价中要求包括此次招标采购、安装及衍生服务的所有费用。报价是供应商对本次采购、安装及衍生服务提出的各项支付金额的总和。报价应包括供应商为完成本次采购文件所确定的投标对应子目货物（含附配件、软件）的采购、包装、运输、安装、调试、质保期内维保、售后服务、运维服务等所需的一切费用，包括但不限于：货物（含附配件、软件）的价格、包装费、运输费、装卸费、保险费、安装费、调试费、技术服务费、检测费、质保期内维保费、售后服务费、运维服务费、招标代理服务费、投标费用、管理费、税金、利润、各类风险费、不可预见费及其他一切相关费用等所有费用，结算时单价不因任何因素而调整。</w:t>
      </w:r>
    </w:p>
    <w:p w14:paraId="5D14B04D">
      <w:pPr>
        <w:spacing w:line="360" w:lineRule="auto"/>
        <w:ind w:firstLine="420"/>
        <w:rPr>
          <w:rFonts w:ascii="宋体" w:hAnsi="宋体"/>
          <w:sz w:val="24"/>
          <w:szCs w:val="24"/>
        </w:rPr>
      </w:pPr>
      <w:r>
        <w:rPr>
          <w:rFonts w:hint="eastAsia" w:ascii="宋体" w:hAnsi="宋体"/>
          <w:sz w:val="24"/>
          <w:szCs w:val="24"/>
        </w:rPr>
        <w:t>5、供应商根据自己的经营状况和掌握的市场信息自主报价。决定供应商投标文件的响应性只根据投标文件本身的内容，而不寻求外部的证据。</w:t>
      </w:r>
    </w:p>
    <w:p w14:paraId="4F898733">
      <w:pPr>
        <w:spacing w:line="360" w:lineRule="auto"/>
        <w:ind w:firstLine="420"/>
        <w:rPr>
          <w:rFonts w:ascii="宋体" w:hAnsi="宋体"/>
          <w:sz w:val="24"/>
          <w:szCs w:val="24"/>
        </w:rPr>
      </w:pPr>
      <w:r>
        <w:rPr>
          <w:rFonts w:hint="eastAsia" w:ascii="宋体" w:hAnsi="宋体"/>
          <w:sz w:val="24"/>
          <w:szCs w:val="24"/>
        </w:rPr>
        <w:t>6、供应商应对采购文件中的条款做到正确理解，有疑义的条款应在采购答疑时提出，有疑义又没有在采购答疑时提出的，应按招标人的解释为准。</w:t>
      </w:r>
    </w:p>
    <w:p w14:paraId="58C9028D">
      <w:pPr>
        <w:spacing w:line="360" w:lineRule="auto"/>
        <w:ind w:firstLine="420"/>
        <w:rPr>
          <w:rFonts w:hint="eastAsia" w:ascii="宋体" w:hAnsi="宋体" w:eastAsiaTheme="minorEastAsia" w:cstheme="minorBidi"/>
          <w:sz w:val="21"/>
          <w:szCs w:val="21"/>
          <w:lang w:val="en-US" w:eastAsia="zh-CN" w:bidi="ar-SA"/>
        </w:rPr>
      </w:pPr>
      <w:r>
        <w:rPr>
          <w:rFonts w:hint="eastAsia" w:ascii="宋体" w:hAnsi="宋体"/>
          <w:sz w:val="24"/>
          <w:szCs w:val="24"/>
        </w:rPr>
        <w:t>7、要求报价单的每一页都必须盖投标单位公章。</w:t>
      </w:r>
    </w:p>
    <w:p w14:paraId="0AE07105">
      <w:pPr>
        <w:pStyle w:val="29"/>
        <w:pageBreakBefore w:val="0"/>
        <w:spacing w:before="120" w:beforeAutospacing="0" w:after="120" w:afterAutospacing="0" w:line="420" w:lineRule="exact"/>
      </w:pPr>
      <w:r>
        <w:rPr>
          <w:rFonts w:hint="eastAsia"/>
          <w:b/>
          <w:lang w:val="en-US" w:eastAsia="zh-CN"/>
        </w:rPr>
        <w:t>八</w:t>
      </w:r>
      <w:r>
        <w:rPr>
          <w:rFonts w:hint="eastAsia"/>
          <w:b/>
        </w:rPr>
        <w:t>、政府采购政策功能落实</w:t>
      </w:r>
    </w:p>
    <w:p w14:paraId="045766C8">
      <w:pPr>
        <w:pStyle w:val="29"/>
        <w:pageBreakBefore w:val="0"/>
        <w:spacing w:before="120" w:beforeAutospacing="0" w:after="120" w:afterAutospacing="0" w:line="420" w:lineRule="exact"/>
      </w:pPr>
      <w:r>
        <w:rPr>
          <w:rFonts w:hint="eastAsia"/>
        </w:rPr>
        <w:t>1、小微型企业价格扣除</w:t>
      </w:r>
    </w:p>
    <w:p w14:paraId="731167D0">
      <w:pPr>
        <w:pStyle w:val="29"/>
        <w:pageBreakBefore w:val="0"/>
        <w:spacing w:before="120" w:beforeAutospacing="0" w:after="120" w:afterAutospacing="0" w:line="420" w:lineRule="exact"/>
        <w:ind w:firstLine="360"/>
      </w:pPr>
      <w:r>
        <w:rPr>
          <w:rFonts w:hint="eastAsia"/>
        </w:rPr>
        <w:t>①本项目若不专门面向中小企业采购，对符合规定的小型和微型企业报价给予20%的扣除价格，用扣除后的价格参与评审；若专门面向中小企业采购，不再对小型和微型企业报价给予价格扣除。</w:t>
      </w:r>
    </w:p>
    <w:p w14:paraId="5A9D90D8">
      <w:pPr>
        <w:pStyle w:val="29"/>
        <w:pageBreakBefore w:val="0"/>
        <w:spacing w:before="120" w:beforeAutospacing="0" w:after="120" w:afterAutospacing="0" w:line="420" w:lineRule="exact"/>
        <w:ind w:firstLine="360"/>
      </w:pPr>
      <w:r>
        <w:rPr>
          <w:rFonts w:hint="eastAsia"/>
        </w:rPr>
        <w:t>（2）供应商需按照</w:t>
      </w:r>
      <w:r>
        <w:rPr>
          <w:rFonts w:hint="eastAsia"/>
          <w:color w:val="333333"/>
          <w:shd w:val="clear" w:color="auto" w:fill="FFFFFF"/>
        </w:rPr>
        <w:t>询价</w:t>
      </w:r>
      <w:r>
        <w:rPr>
          <w:rFonts w:hint="eastAsia"/>
        </w:rPr>
        <w:t>文件的要求提供相应的《中小企业声明函》。</w:t>
      </w:r>
    </w:p>
    <w:p w14:paraId="7AB17FDA">
      <w:pPr>
        <w:pStyle w:val="29"/>
        <w:pageBreakBefore w:val="0"/>
        <w:spacing w:before="120" w:beforeAutospacing="0" w:after="120" w:afterAutospacing="0" w:line="420" w:lineRule="exact"/>
        <w:ind w:firstLine="360"/>
      </w:pPr>
      <w:r>
        <w:rPr>
          <w:rFonts w:hint="eastAsia"/>
        </w:rPr>
        <w:t>（3）企业标准请参照《关于印发中小企业划型标准规定的通知》（工信部联企业[2011]300号）文件规定自行填写。</w:t>
      </w:r>
    </w:p>
    <w:p w14:paraId="49C690CB">
      <w:pPr>
        <w:pStyle w:val="29"/>
        <w:pageBreakBefore w:val="0"/>
        <w:spacing w:before="120" w:beforeAutospacing="0" w:after="120" w:afterAutospacing="0" w:line="420" w:lineRule="exact"/>
      </w:pPr>
      <w:r>
        <w:rPr>
          <w:rFonts w:hint="eastAsia"/>
        </w:rPr>
        <w:t>2、残疾人福利单位价格扣除</w:t>
      </w:r>
    </w:p>
    <w:p w14:paraId="06C5B15B">
      <w:pPr>
        <w:pStyle w:val="29"/>
        <w:pageBreakBefore w:val="0"/>
        <w:spacing w:before="120" w:beforeAutospacing="0" w:after="120" w:afterAutospacing="0" w:line="420" w:lineRule="exact"/>
        <w:ind w:left="120" w:firstLine="360"/>
        <w:rPr>
          <w:u w:val="single"/>
        </w:rPr>
      </w:pPr>
      <w:r>
        <w:rPr>
          <w:rFonts w:hint="eastAsia"/>
        </w:rPr>
        <w:t>（1）本项目对残疾人福利性单位视同小型、微型企业，给予</w:t>
      </w:r>
      <w:r>
        <w:rPr>
          <w:rFonts w:hint="eastAsia"/>
          <w:u w:val="single"/>
        </w:rPr>
        <w:t>20%</w:t>
      </w:r>
      <w:r>
        <w:rPr>
          <w:rFonts w:hint="eastAsia"/>
        </w:rPr>
        <w:t>的价格扣除。</w:t>
      </w:r>
    </w:p>
    <w:p w14:paraId="58FAF66F">
      <w:pPr>
        <w:pStyle w:val="29"/>
        <w:pageBreakBefore w:val="0"/>
        <w:spacing w:before="120" w:beforeAutospacing="0" w:after="120" w:afterAutospacing="0" w:line="420" w:lineRule="exact"/>
        <w:ind w:left="120" w:firstLine="360"/>
      </w:pPr>
      <w:r>
        <w:rPr>
          <w:rFonts w:hint="eastAsia"/>
        </w:rPr>
        <w:t>（2）残疾人福利单位需按照</w:t>
      </w:r>
      <w:r>
        <w:rPr>
          <w:rFonts w:hint="eastAsia"/>
          <w:color w:val="333333"/>
          <w:shd w:val="clear" w:color="auto" w:fill="FFFFFF"/>
        </w:rPr>
        <w:t>询价</w:t>
      </w:r>
      <w:r>
        <w:rPr>
          <w:rFonts w:hint="eastAsia"/>
        </w:rPr>
        <w:t>文件的要求提供《残疾人福利性单位声明函》。</w:t>
      </w:r>
    </w:p>
    <w:p w14:paraId="6CB7FC46">
      <w:pPr>
        <w:pStyle w:val="29"/>
        <w:pageBreakBefore w:val="0"/>
        <w:spacing w:before="120" w:beforeAutospacing="0" w:after="120" w:afterAutospacing="0" w:line="420" w:lineRule="exact"/>
        <w:ind w:left="120" w:firstLine="360"/>
      </w:pPr>
      <w:r>
        <w:rPr>
          <w:rFonts w:hint="eastAsia"/>
        </w:rPr>
        <w:t>（3）残疾人福利单位标准请参照《关于促进残疾人就业政府采购政策的通知》（财库〔2017〕141号）。</w:t>
      </w:r>
    </w:p>
    <w:p w14:paraId="65BE4F50">
      <w:pPr>
        <w:pStyle w:val="29"/>
        <w:pageBreakBefore w:val="0"/>
        <w:spacing w:before="120" w:beforeAutospacing="0" w:after="120" w:afterAutospacing="0" w:line="420" w:lineRule="exact"/>
      </w:pPr>
      <w:r>
        <w:rPr>
          <w:rFonts w:hint="eastAsia"/>
        </w:rPr>
        <w:t>3、监狱和戒毒企业价格扣除</w:t>
      </w:r>
    </w:p>
    <w:p w14:paraId="64C084E4">
      <w:pPr>
        <w:pStyle w:val="29"/>
        <w:pageBreakBefore w:val="0"/>
        <w:spacing w:before="120" w:beforeAutospacing="0" w:after="120" w:afterAutospacing="0" w:line="420" w:lineRule="exact"/>
        <w:ind w:firstLine="480"/>
        <w:rPr>
          <w:u w:val="single"/>
        </w:rPr>
      </w:pPr>
      <w:r>
        <w:rPr>
          <w:rFonts w:hint="eastAsia"/>
        </w:rPr>
        <w:t>（1）本项目对监狱和戒毒企业（简称监狱企业）视同小型、微型企业，给予</w:t>
      </w:r>
      <w:r>
        <w:rPr>
          <w:rFonts w:hint="eastAsia"/>
          <w:u w:val="single"/>
        </w:rPr>
        <w:t>20%</w:t>
      </w:r>
      <w:r>
        <w:rPr>
          <w:rFonts w:hint="eastAsia"/>
        </w:rPr>
        <w:t>的价格扣除。</w:t>
      </w:r>
    </w:p>
    <w:p w14:paraId="6D9B094E">
      <w:pPr>
        <w:pStyle w:val="29"/>
        <w:pageBreakBefore w:val="0"/>
        <w:spacing w:before="120" w:beforeAutospacing="0" w:after="120" w:afterAutospacing="0" w:line="420" w:lineRule="exact"/>
        <w:ind w:firstLine="480"/>
      </w:pPr>
      <w:r>
        <w:rPr>
          <w:rFonts w:hint="eastAsia"/>
        </w:rPr>
        <w:t>（2）监狱企业参加政府采购活动时，需提供由省级以上监狱管理局、戒毒管理局(含新疆生产建设兵团)出具的属于监狱企业的证明文件。供应商如不提供上述证明文件，价格将不做相应扣除。</w:t>
      </w:r>
    </w:p>
    <w:p w14:paraId="11422EF1">
      <w:pPr>
        <w:pStyle w:val="29"/>
        <w:pageBreakBefore w:val="0"/>
        <w:spacing w:before="120" w:beforeAutospacing="0" w:after="120" w:afterAutospacing="0" w:line="420" w:lineRule="exact"/>
        <w:ind w:firstLine="480"/>
      </w:pPr>
      <w:r>
        <w:rPr>
          <w:rFonts w:hint="eastAsia"/>
        </w:rPr>
        <w:t>（3）监狱企业标准请参照《关于政府采购支持监狱企业发展有关问题的通知》（财库[2014]68号）。</w:t>
      </w:r>
    </w:p>
    <w:p w14:paraId="761143F6">
      <w:pPr>
        <w:pStyle w:val="29"/>
        <w:pageBreakBefore w:val="0"/>
        <w:spacing w:before="120" w:beforeAutospacing="0" w:after="120" w:afterAutospacing="0" w:line="420" w:lineRule="exact"/>
      </w:pPr>
      <w:r>
        <w:rPr>
          <w:rFonts w:hint="eastAsia"/>
        </w:rPr>
        <w:t>4、残疾人福利单位、监狱企业属于小型、微型企业的，不重复享受政策。</w:t>
      </w:r>
    </w:p>
    <w:p w14:paraId="08D1BFDB">
      <w:pPr>
        <w:pageBreakBefore w:val="0"/>
        <w:spacing w:line="420" w:lineRule="exact"/>
        <w:rPr>
          <w:rFonts w:ascii="宋体" w:hAnsi="宋体" w:cs="宋体"/>
          <w:sz w:val="24"/>
        </w:rPr>
      </w:pPr>
      <w:r>
        <w:rPr>
          <w:rFonts w:hint="eastAsia"/>
        </w:rPr>
        <w:t>5</w:t>
      </w:r>
      <w:r>
        <w:rPr>
          <w:rFonts w:hint="eastAsia" w:ascii="宋体" w:hAnsi="宋体" w:cs="宋体"/>
          <w:sz w:val="24"/>
        </w:rPr>
        <w:t>、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宋体" w:hAnsi="宋体" w:cs="宋体"/>
          <w:b/>
          <w:i/>
          <w:sz w:val="24"/>
        </w:rPr>
        <w:t>如属政府强制采购产品未提供认证证书的或认证证书提供不全的将视为未实质性响应采购要求</w:t>
      </w:r>
      <w:r>
        <w:rPr>
          <w:rFonts w:hint="eastAsia" w:ascii="宋体" w:hAnsi="宋体" w:cs="宋体"/>
          <w:i/>
          <w:sz w:val="24"/>
        </w:rPr>
        <w:t>。</w:t>
      </w:r>
      <w:r>
        <w:rPr>
          <w:rFonts w:hint="eastAsia" w:ascii="宋体" w:hAnsi="宋体" w:cs="宋体"/>
          <w:sz w:val="24"/>
        </w:rPr>
        <w:t>其他条件相同情况下，应当优先采购节能产品、环境标志产品。</w:t>
      </w:r>
    </w:p>
    <w:p w14:paraId="7946ADFA">
      <w:pPr>
        <w:pStyle w:val="29"/>
        <w:widowControl w:val="0"/>
        <w:spacing w:before="0" w:beforeAutospacing="0" w:after="0" w:afterAutospacing="0" w:line="0" w:lineRule="atLeast"/>
        <w:jc w:val="both"/>
        <w:rPr>
          <w:rFonts w:hint="eastAsia"/>
        </w:rPr>
      </w:pPr>
      <w:r>
        <w:rPr>
          <w:rFonts w:hint="eastAsia"/>
        </w:rPr>
        <w:t> </w:t>
      </w:r>
    </w:p>
    <w:p w14:paraId="6A371ECC">
      <w:pPr>
        <w:pStyle w:val="29"/>
        <w:widowControl w:val="0"/>
        <w:spacing w:before="0" w:beforeAutospacing="0" w:after="0" w:afterAutospacing="0" w:line="0" w:lineRule="atLeast"/>
        <w:jc w:val="both"/>
        <w:rPr>
          <w:color w:val="000000" w:themeColor="text1"/>
          <w:highlight w:val="white"/>
          <w14:textFill>
            <w14:solidFill>
              <w14:schemeClr w14:val="tx1"/>
            </w14:solidFill>
          </w14:textFill>
        </w:rPr>
      </w:pPr>
      <w:r>
        <w:rPr>
          <w:rFonts w:hint="eastAsia"/>
          <w:color w:val="000000" w:themeColor="text1"/>
          <w:highlight w:val="white"/>
          <w14:textFill>
            <w14:solidFill>
              <w14:schemeClr w14:val="tx1"/>
            </w14:solidFill>
          </w14:textFill>
        </w:rPr>
        <w:t>采购标的对应的中小企业划分标准所属行业一览表</w:t>
      </w:r>
    </w:p>
    <w:tbl>
      <w:tblPr>
        <w:tblStyle w:val="31"/>
        <w:tblW w:w="8767" w:type="dxa"/>
        <w:jc w:val="center"/>
        <w:tblCellSpacing w:w="0" w:type="dxa"/>
        <w:tblLayout w:type="fixed"/>
        <w:tblCellMar>
          <w:top w:w="0" w:type="dxa"/>
          <w:left w:w="108" w:type="dxa"/>
          <w:bottom w:w="0" w:type="dxa"/>
          <w:right w:w="108" w:type="dxa"/>
        </w:tblCellMar>
      </w:tblPr>
      <w:tblGrid>
        <w:gridCol w:w="1333"/>
        <w:gridCol w:w="3291"/>
        <w:gridCol w:w="4143"/>
      </w:tblGrid>
      <w:tr w14:paraId="4D5E497C">
        <w:tblPrEx>
          <w:tblCellMar>
            <w:top w:w="0" w:type="dxa"/>
            <w:left w:w="108" w:type="dxa"/>
            <w:bottom w:w="0" w:type="dxa"/>
            <w:right w:w="108" w:type="dxa"/>
          </w:tblCellMar>
        </w:tblPrEx>
        <w:trPr>
          <w:trHeight w:val="593" w:hRule="atLeast"/>
          <w:tblCellSpacing w:w="0" w:type="dxa"/>
          <w:jc w:val="center"/>
        </w:trPr>
        <w:tc>
          <w:tcPr>
            <w:tcW w:w="1333" w:type="dxa"/>
            <w:tcBorders>
              <w:top w:val="single" w:color="000000" w:sz="4" w:space="0"/>
              <w:left w:val="single" w:color="000000" w:sz="4" w:space="0"/>
              <w:bottom w:val="single" w:color="000000" w:sz="4" w:space="0"/>
              <w:right w:val="single" w:color="000000" w:sz="4" w:space="0"/>
            </w:tcBorders>
            <w:vAlign w:val="center"/>
          </w:tcPr>
          <w:p w14:paraId="411F1202">
            <w:pPr>
              <w:pStyle w:val="29"/>
              <w:widowControl w:val="0"/>
              <w:spacing w:before="0" w:beforeAutospacing="0" w:after="0" w:afterAutospacing="0" w:line="0" w:lineRule="atLeast"/>
              <w:jc w:val="center"/>
              <w:rPr>
                <w:color w:val="000000" w:themeColor="text1"/>
                <w:highlight w:val="white"/>
                <w14:textFill>
                  <w14:solidFill>
                    <w14:schemeClr w14:val="tx1"/>
                  </w14:solidFill>
                </w14:textFill>
              </w:rPr>
            </w:pPr>
            <w:r>
              <w:rPr>
                <w:rFonts w:hint="eastAsia"/>
                <w:color w:val="000000" w:themeColor="text1"/>
                <w:highlight w:val="white"/>
                <w14:textFill>
                  <w14:solidFill>
                    <w14:schemeClr w14:val="tx1"/>
                  </w14:solidFill>
                </w14:textFill>
              </w:rPr>
              <w:t>序号</w:t>
            </w:r>
          </w:p>
        </w:tc>
        <w:tc>
          <w:tcPr>
            <w:tcW w:w="3291" w:type="dxa"/>
            <w:tcBorders>
              <w:top w:val="single" w:color="000000" w:sz="4" w:space="0"/>
              <w:left w:val="single" w:color="000000" w:sz="4" w:space="0"/>
              <w:bottom w:val="single" w:color="000000" w:sz="4" w:space="0"/>
              <w:right w:val="single" w:color="000000" w:sz="4" w:space="0"/>
            </w:tcBorders>
            <w:vAlign w:val="center"/>
          </w:tcPr>
          <w:p w14:paraId="646741E5">
            <w:pPr>
              <w:pStyle w:val="29"/>
              <w:widowControl w:val="0"/>
              <w:spacing w:before="0" w:beforeAutospacing="0" w:after="0" w:afterAutospacing="0" w:line="0" w:lineRule="atLeast"/>
              <w:jc w:val="center"/>
              <w:rPr>
                <w:color w:val="000000" w:themeColor="text1"/>
                <w:highlight w:val="white"/>
                <w14:textFill>
                  <w14:solidFill>
                    <w14:schemeClr w14:val="tx1"/>
                  </w14:solidFill>
                </w14:textFill>
              </w:rPr>
            </w:pPr>
            <w:r>
              <w:rPr>
                <w:rFonts w:hint="eastAsia"/>
                <w:color w:val="000000" w:themeColor="text1"/>
                <w:highlight w:val="white"/>
                <w14:textFill>
                  <w14:solidFill>
                    <w14:schemeClr w14:val="tx1"/>
                  </w14:solidFill>
                </w14:textFill>
              </w:rPr>
              <w:t>采购标的</w:t>
            </w:r>
          </w:p>
        </w:tc>
        <w:tc>
          <w:tcPr>
            <w:tcW w:w="4143" w:type="dxa"/>
            <w:tcBorders>
              <w:top w:val="single" w:color="000000" w:sz="4" w:space="0"/>
              <w:left w:val="single" w:color="000000" w:sz="4" w:space="0"/>
              <w:bottom w:val="single" w:color="000000" w:sz="4" w:space="0"/>
              <w:right w:val="single" w:color="000000" w:sz="4" w:space="0"/>
            </w:tcBorders>
            <w:vAlign w:val="center"/>
          </w:tcPr>
          <w:p w14:paraId="58DF13FD">
            <w:pPr>
              <w:pStyle w:val="29"/>
              <w:widowControl w:val="0"/>
              <w:spacing w:before="0" w:beforeAutospacing="0" w:after="0" w:afterAutospacing="0" w:line="0" w:lineRule="atLeast"/>
              <w:jc w:val="center"/>
              <w:rPr>
                <w:rFonts w:hint="eastAsia"/>
                <w:lang w:val="en-US" w:eastAsia="zh-CN"/>
              </w:rPr>
            </w:pPr>
            <w:r>
              <w:rPr>
                <w:rFonts w:hint="eastAsia"/>
                <w:lang w:val="en-US" w:eastAsia="zh-CN"/>
              </w:rPr>
              <w:t>对应中小企业划分标准所属行业</w:t>
            </w:r>
          </w:p>
        </w:tc>
      </w:tr>
      <w:tr w14:paraId="44728C05">
        <w:tblPrEx>
          <w:tblCellMar>
            <w:top w:w="0" w:type="dxa"/>
            <w:left w:w="108" w:type="dxa"/>
            <w:bottom w:w="0" w:type="dxa"/>
            <w:right w:w="108" w:type="dxa"/>
          </w:tblCellMar>
        </w:tblPrEx>
        <w:trPr>
          <w:trHeight w:val="530" w:hRule="atLeast"/>
          <w:tblCellSpacing w:w="0" w:type="dxa"/>
          <w:jc w:val="center"/>
        </w:trPr>
        <w:tc>
          <w:tcPr>
            <w:tcW w:w="1333" w:type="dxa"/>
            <w:tcBorders>
              <w:top w:val="single" w:color="000000" w:sz="4" w:space="0"/>
              <w:left w:val="single" w:color="000000" w:sz="4" w:space="0"/>
              <w:bottom w:val="single" w:color="000000" w:sz="4" w:space="0"/>
              <w:right w:val="single" w:color="000000" w:sz="4" w:space="0"/>
            </w:tcBorders>
            <w:vAlign w:val="center"/>
          </w:tcPr>
          <w:p w14:paraId="6889030F">
            <w:pPr>
              <w:pStyle w:val="29"/>
              <w:widowControl w:val="0"/>
              <w:spacing w:before="0" w:beforeAutospacing="0" w:after="0" w:afterAutospacing="0" w:line="0" w:lineRule="atLeast"/>
              <w:jc w:val="center"/>
              <w:rPr>
                <w:color w:val="000000" w:themeColor="text1"/>
                <w:highlight w:val="white"/>
                <w14:textFill>
                  <w14:solidFill>
                    <w14:schemeClr w14:val="tx1"/>
                  </w14:solidFill>
                </w14:textFill>
              </w:rPr>
            </w:pPr>
            <w:r>
              <w:rPr>
                <w:rFonts w:hint="eastAsia"/>
                <w:color w:val="000000" w:themeColor="text1"/>
                <w:highlight w:val="white"/>
                <w14:textFill>
                  <w14:solidFill>
                    <w14:schemeClr w14:val="tx1"/>
                  </w14:solidFill>
                </w14:textFill>
              </w:rPr>
              <w:t>1</w:t>
            </w:r>
          </w:p>
        </w:tc>
        <w:tc>
          <w:tcPr>
            <w:tcW w:w="3291" w:type="dxa"/>
            <w:tcBorders>
              <w:top w:val="single" w:color="000000" w:sz="4" w:space="0"/>
              <w:left w:val="single" w:color="000000" w:sz="4" w:space="0"/>
              <w:bottom w:val="single" w:color="000000" w:sz="4" w:space="0"/>
              <w:right w:val="single" w:color="000000" w:sz="4" w:space="0"/>
            </w:tcBorders>
            <w:vAlign w:val="center"/>
          </w:tcPr>
          <w:p w14:paraId="0F28C6C7">
            <w:pPr>
              <w:pStyle w:val="29"/>
              <w:widowControl w:val="0"/>
              <w:spacing w:before="0" w:beforeAutospacing="0" w:after="0" w:afterAutospacing="0" w:line="0" w:lineRule="atLeast"/>
              <w:jc w:val="center"/>
              <w:rPr>
                <w:rFonts w:hint="eastAsia" w:eastAsia="宋体"/>
                <w:color w:val="000000" w:themeColor="text1"/>
                <w:highlight w:val="white"/>
                <w:lang w:eastAsia="zh-CN"/>
                <w14:textFill>
                  <w14:solidFill>
                    <w14:schemeClr w14:val="tx1"/>
                  </w14:solidFill>
                </w14:textFill>
              </w:rPr>
            </w:pPr>
            <w:r>
              <w:rPr>
                <w:rFonts w:hint="eastAsia"/>
                <w:lang w:val="en-US" w:eastAsia="zh-CN"/>
              </w:rPr>
              <w:t>殡仪车</w:t>
            </w:r>
          </w:p>
        </w:tc>
        <w:tc>
          <w:tcPr>
            <w:tcW w:w="4143" w:type="dxa"/>
            <w:tcBorders>
              <w:top w:val="single" w:color="000000" w:sz="4" w:space="0"/>
              <w:left w:val="single" w:color="000000" w:sz="4" w:space="0"/>
              <w:bottom w:val="single" w:color="000000" w:sz="4" w:space="0"/>
              <w:right w:val="single" w:color="000000" w:sz="4" w:space="0"/>
            </w:tcBorders>
            <w:vAlign w:val="center"/>
          </w:tcPr>
          <w:p w14:paraId="6D07FC85">
            <w:pPr>
              <w:pStyle w:val="29"/>
              <w:widowControl w:val="0"/>
              <w:spacing w:before="0" w:beforeAutospacing="0" w:after="0" w:afterAutospacing="0" w:line="0" w:lineRule="atLeast"/>
              <w:jc w:val="center"/>
              <w:rPr>
                <w:rFonts w:hint="eastAsia"/>
                <w:lang w:val="en-US" w:eastAsia="zh-CN"/>
              </w:rPr>
            </w:pPr>
            <w:r>
              <w:rPr>
                <w:rFonts w:hint="eastAsia"/>
                <w:lang w:val="en-US" w:eastAsia="zh-CN"/>
              </w:rPr>
              <w:t>工业</w:t>
            </w:r>
          </w:p>
        </w:tc>
      </w:tr>
    </w:tbl>
    <w:p w14:paraId="2D2C210D">
      <w:pPr>
        <w:pStyle w:val="29"/>
        <w:pageBreakBefore w:val="0"/>
        <w:widowControl w:val="0"/>
        <w:spacing w:before="0" w:beforeAutospacing="0" w:after="0" w:afterAutospacing="0" w:line="420" w:lineRule="exact"/>
        <w:jc w:val="both"/>
        <w:rPr>
          <w:rFonts w:hint="eastAsia"/>
        </w:rPr>
      </w:pPr>
    </w:p>
    <w:p w14:paraId="26C7A415">
      <w:pPr>
        <w:pStyle w:val="29"/>
        <w:pageBreakBefore w:val="0"/>
        <w:widowControl w:val="0"/>
        <w:spacing w:before="0" w:beforeAutospacing="0" w:after="0" w:afterAutospacing="0" w:line="420" w:lineRule="exact"/>
        <w:jc w:val="both"/>
        <w:rPr>
          <w:rFonts w:hint="eastAsia"/>
        </w:rPr>
      </w:pPr>
      <w:r>
        <w:t> </w:t>
      </w:r>
    </w:p>
    <w:p w14:paraId="5B950DBA">
      <w:pPr>
        <w:rPr>
          <w:highlight w:val="none"/>
        </w:rPr>
      </w:pPr>
    </w:p>
    <w:p w14:paraId="16F80324">
      <w:pPr>
        <w:rPr>
          <w:rFonts w:hint="eastAsia" w:ascii="黑体" w:eastAsia="黑体" w:cs="黑体"/>
          <w:color w:val="000000"/>
          <w:sz w:val="44"/>
          <w:szCs w:val="44"/>
          <w:highlight w:val="none"/>
          <w:shd w:val="clear" w:color="auto" w:fill="auto"/>
        </w:rPr>
      </w:pPr>
      <w:r>
        <w:rPr>
          <w:rFonts w:hint="eastAsia" w:ascii="黑体" w:eastAsia="黑体" w:cs="黑体"/>
          <w:color w:val="000000"/>
          <w:sz w:val="44"/>
          <w:szCs w:val="44"/>
          <w:highlight w:val="none"/>
          <w:shd w:val="clear" w:color="auto" w:fill="auto"/>
        </w:rPr>
        <w:br w:type="page"/>
      </w:r>
    </w:p>
    <w:p w14:paraId="53F56C4B">
      <w:pPr>
        <w:pStyle w:val="212"/>
        <w:keepNext/>
        <w:widowControl w:val="0"/>
        <w:spacing w:before="0" w:beforeAutospacing="0" w:after="0" w:afterAutospacing="0"/>
        <w:jc w:val="center"/>
        <w:rPr>
          <w:rFonts w:hint="eastAsia" w:ascii="黑体" w:eastAsia="黑体" w:cs="黑体"/>
          <w:color w:val="000000"/>
          <w:sz w:val="44"/>
          <w:szCs w:val="44"/>
          <w:highlight w:val="none"/>
          <w:shd w:val="clear" w:color="auto" w:fill="auto"/>
        </w:rPr>
      </w:pPr>
      <w:r>
        <w:rPr>
          <w:rFonts w:hint="eastAsia" w:ascii="黑体" w:eastAsia="黑体" w:cs="黑体"/>
          <w:color w:val="000000"/>
          <w:sz w:val="44"/>
          <w:szCs w:val="44"/>
          <w:highlight w:val="none"/>
          <w:shd w:val="clear" w:color="auto" w:fill="auto"/>
        </w:rPr>
        <w:t>第五章  响应文件格式</w:t>
      </w:r>
    </w:p>
    <w:p w14:paraId="7D80CCAB">
      <w:pPr>
        <w:pStyle w:val="212"/>
        <w:keepNext/>
        <w:widowControl w:val="0"/>
        <w:spacing w:before="0" w:beforeAutospacing="0" w:after="0" w:afterAutospacing="0"/>
        <w:jc w:val="center"/>
        <w:rPr>
          <w:rFonts w:hint="eastAsia" w:ascii="黑体" w:eastAsia="黑体" w:cs="黑体"/>
          <w:color w:val="000000"/>
          <w:sz w:val="44"/>
          <w:szCs w:val="44"/>
          <w:highlight w:val="none"/>
          <w:shd w:val="clear" w:color="auto" w:fill="auto"/>
        </w:rPr>
      </w:pPr>
    </w:p>
    <w:p w14:paraId="5DA44145">
      <w:pPr>
        <w:pStyle w:val="212"/>
        <w:keepNext/>
        <w:widowControl w:val="0"/>
        <w:spacing w:before="0" w:beforeAutospacing="0" w:after="0" w:afterAutospacing="0"/>
        <w:jc w:val="center"/>
        <w:rPr>
          <w:color w:val="000000"/>
          <w:highlight w:val="none"/>
          <w:shd w:val="clear" w:color="auto" w:fill="auto"/>
        </w:rPr>
      </w:pPr>
      <w:r>
        <w:rPr>
          <w:rFonts w:hint="eastAsia" w:ascii="黑体" w:eastAsia="黑体" w:cs="黑体"/>
          <w:color w:val="000000"/>
          <w:sz w:val="44"/>
          <w:szCs w:val="44"/>
          <w:highlight w:val="none"/>
          <w:shd w:val="clear" w:color="auto" w:fill="auto"/>
        </w:rPr>
        <w:t xml:space="preserve"> </w:t>
      </w:r>
    </w:p>
    <w:p w14:paraId="6ECD3F4F">
      <w:pPr>
        <w:pStyle w:val="212"/>
        <w:widowControl w:val="0"/>
        <w:spacing w:before="0" w:beforeAutospacing="0" w:after="0" w:afterAutospacing="0"/>
        <w:jc w:val="center"/>
        <w:rPr>
          <w:color w:val="000000"/>
          <w:highlight w:val="none"/>
          <w:shd w:val="clear" w:color="auto" w:fill="auto"/>
        </w:rPr>
      </w:pPr>
      <w:bookmarkStart w:id="144" w:name="_Toc120614282"/>
      <w:bookmarkEnd w:id="144"/>
      <w:bookmarkStart w:id="145" w:name="_Toc49090576"/>
      <w:bookmarkEnd w:id="145"/>
      <w:bookmarkStart w:id="146" w:name="_Toc26554094"/>
      <w:bookmarkStart w:id="147" w:name="_Hlt26955039"/>
      <w:bookmarkStart w:id="148" w:name="_Hlt26671244"/>
      <w:r>
        <w:rPr>
          <w:rFonts w:hint="eastAsia"/>
          <w:b/>
          <w:color w:val="000000"/>
          <w:sz w:val="72"/>
          <w:szCs w:val="72"/>
          <w:highlight w:val="none"/>
          <w:shd w:val="clear" w:color="auto" w:fill="auto"/>
        </w:rPr>
        <w:t>响  应  文  件</w:t>
      </w:r>
    </w:p>
    <w:p w14:paraId="4A4C2E01">
      <w:pPr>
        <w:pStyle w:val="212"/>
        <w:widowControl w:val="0"/>
        <w:spacing w:before="0" w:beforeAutospacing="0" w:after="0" w:afterAutospacing="0"/>
        <w:jc w:val="center"/>
        <w:rPr>
          <w:color w:val="000000"/>
          <w:highlight w:val="none"/>
          <w:shd w:val="clear" w:color="auto" w:fill="auto"/>
        </w:rPr>
      </w:pPr>
      <w:r>
        <w:rPr>
          <w:color w:val="000000"/>
          <w:highlight w:val="none"/>
          <w:shd w:val="clear" w:color="auto" w:fill="auto"/>
        </w:rPr>
        <w:t> </w:t>
      </w:r>
    </w:p>
    <w:p w14:paraId="1B0C586B">
      <w:pPr>
        <w:pStyle w:val="212"/>
        <w:widowControl w:val="0"/>
        <w:spacing w:before="0" w:beforeAutospacing="0" w:after="0" w:afterAutospacing="0"/>
        <w:jc w:val="center"/>
        <w:rPr>
          <w:color w:val="000000"/>
          <w:highlight w:val="none"/>
          <w:shd w:val="clear" w:color="auto" w:fill="auto"/>
        </w:rPr>
      </w:pPr>
      <w:r>
        <w:rPr>
          <w:color w:val="000000"/>
          <w:highlight w:val="none"/>
          <w:shd w:val="clear" w:color="auto" w:fill="auto"/>
        </w:rPr>
        <w:t> </w:t>
      </w:r>
    </w:p>
    <w:p w14:paraId="14273BDF">
      <w:pPr>
        <w:pStyle w:val="212"/>
        <w:widowControl w:val="0"/>
        <w:spacing w:before="0" w:beforeAutospacing="0" w:after="0" w:afterAutospacing="0"/>
        <w:jc w:val="center"/>
        <w:rPr>
          <w:color w:val="000000"/>
          <w:highlight w:val="none"/>
          <w:shd w:val="clear" w:color="auto" w:fill="auto"/>
        </w:rPr>
      </w:pPr>
      <w:r>
        <w:rPr>
          <w:color w:val="000000"/>
          <w:highlight w:val="none"/>
          <w:shd w:val="clear" w:color="auto" w:fill="auto"/>
        </w:rPr>
        <w:t> </w:t>
      </w:r>
    </w:p>
    <w:p w14:paraId="03361EB5">
      <w:pPr>
        <w:pStyle w:val="212"/>
        <w:widowControl w:val="0"/>
        <w:spacing w:before="0" w:beforeAutospacing="0" w:after="0" w:afterAutospacing="0"/>
        <w:jc w:val="center"/>
        <w:rPr>
          <w:color w:val="000000"/>
          <w:highlight w:val="none"/>
          <w:shd w:val="clear" w:color="auto" w:fill="auto"/>
        </w:rPr>
      </w:pPr>
      <w:r>
        <w:rPr>
          <w:color w:val="000000"/>
          <w:highlight w:val="none"/>
          <w:shd w:val="clear" w:color="auto" w:fill="auto"/>
        </w:rPr>
        <w:t> </w:t>
      </w:r>
    </w:p>
    <w:p w14:paraId="2213D93C">
      <w:pPr>
        <w:pStyle w:val="212"/>
        <w:widowControl w:val="0"/>
        <w:spacing w:before="0" w:beforeAutospacing="0" w:after="0" w:afterAutospacing="0"/>
        <w:jc w:val="center"/>
        <w:rPr>
          <w:color w:val="000000"/>
          <w:highlight w:val="none"/>
          <w:shd w:val="clear" w:color="auto" w:fill="auto"/>
        </w:rPr>
      </w:pPr>
      <w:r>
        <w:rPr>
          <w:color w:val="000000"/>
          <w:highlight w:val="none"/>
          <w:shd w:val="clear" w:color="auto" w:fill="auto"/>
        </w:rPr>
        <w:t> </w:t>
      </w:r>
    </w:p>
    <w:p w14:paraId="08A8FFBB">
      <w:pPr>
        <w:pStyle w:val="212"/>
        <w:widowControl w:val="0"/>
        <w:spacing w:before="0" w:beforeAutospacing="0" w:after="0" w:afterAutospacing="0"/>
        <w:ind w:firstLine="1084"/>
        <w:jc w:val="both"/>
        <w:rPr>
          <w:color w:val="000000"/>
          <w:highlight w:val="none"/>
          <w:shd w:val="clear" w:color="auto" w:fill="auto"/>
        </w:rPr>
      </w:pPr>
      <w:r>
        <w:rPr>
          <w:rFonts w:hint="eastAsia"/>
          <w:b/>
          <w:color w:val="000000"/>
          <w:sz w:val="36"/>
          <w:szCs w:val="36"/>
          <w:highlight w:val="none"/>
          <w:shd w:val="clear" w:color="auto" w:fill="auto"/>
        </w:rPr>
        <w:t>项 目 名 称：</w:t>
      </w:r>
      <w:r>
        <w:rPr>
          <w:rFonts w:hint="eastAsia"/>
          <w:b/>
          <w:color w:val="000000"/>
          <w:sz w:val="36"/>
          <w:szCs w:val="36"/>
          <w:highlight w:val="none"/>
          <w:u w:val="single"/>
          <w:shd w:val="clear" w:color="auto" w:fill="auto"/>
        </w:rPr>
        <w:t xml:space="preserve">               </w:t>
      </w:r>
    </w:p>
    <w:p w14:paraId="45BFC146">
      <w:pPr>
        <w:pStyle w:val="212"/>
        <w:widowControl w:val="0"/>
        <w:spacing w:before="0" w:beforeAutospacing="0" w:after="0" w:afterAutospacing="0"/>
        <w:ind w:firstLine="1084"/>
        <w:jc w:val="both"/>
        <w:rPr>
          <w:color w:val="000000"/>
          <w:highlight w:val="none"/>
          <w:shd w:val="clear" w:color="auto" w:fill="auto"/>
        </w:rPr>
      </w:pPr>
      <w:r>
        <w:rPr>
          <w:rFonts w:hint="eastAsia"/>
          <w:b/>
          <w:color w:val="000000"/>
          <w:sz w:val="36"/>
          <w:szCs w:val="36"/>
          <w:highlight w:val="none"/>
          <w:shd w:val="clear" w:color="auto" w:fill="auto"/>
        </w:rPr>
        <w:t>项 目 编 号：</w:t>
      </w:r>
      <w:r>
        <w:rPr>
          <w:rFonts w:hint="eastAsia"/>
          <w:b/>
          <w:color w:val="000000"/>
          <w:sz w:val="36"/>
          <w:szCs w:val="36"/>
          <w:highlight w:val="none"/>
          <w:u w:val="single"/>
          <w:shd w:val="clear" w:color="auto" w:fill="auto"/>
        </w:rPr>
        <w:t xml:space="preserve">               </w:t>
      </w:r>
    </w:p>
    <w:p w14:paraId="3319A652">
      <w:pPr>
        <w:pStyle w:val="212"/>
        <w:widowControl w:val="0"/>
        <w:spacing w:before="0" w:beforeAutospacing="0" w:after="0" w:afterAutospacing="0"/>
        <w:jc w:val="both"/>
        <w:rPr>
          <w:color w:val="000000"/>
          <w:highlight w:val="none"/>
          <w:shd w:val="clear" w:color="auto" w:fill="auto"/>
        </w:rPr>
      </w:pPr>
      <w:r>
        <w:rPr>
          <w:rFonts w:hint="eastAsia"/>
          <w:b/>
          <w:color w:val="000000"/>
          <w:sz w:val="36"/>
          <w:szCs w:val="36"/>
          <w:highlight w:val="none"/>
          <w:shd w:val="clear" w:color="auto" w:fill="auto"/>
        </w:rPr>
        <w:t>   供应商名称 ：</w:t>
      </w:r>
      <w:r>
        <w:rPr>
          <w:rFonts w:hint="eastAsia"/>
          <w:b/>
          <w:color w:val="000000"/>
          <w:sz w:val="36"/>
          <w:szCs w:val="36"/>
          <w:highlight w:val="none"/>
          <w:u w:val="single"/>
          <w:shd w:val="clear" w:color="auto" w:fill="auto"/>
        </w:rPr>
        <w:t>（加盖CA电子公章）</w:t>
      </w:r>
    </w:p>
    <w:p w14:paraId="023856C5">
      <w:pPr>
        <w:pStyle w:val="212"/>
        <w:widowControl w:val="0"/>
        <w:spacing w:before="0" w:beforeAutospacing="0" w:after="0" w:afterAutospacing="0"/>
        <w:jc w:val="both"/>
        <w:rPr>
          <w:color w:val="000000"/>
          <w:highlight w:val="none"/>
          <w:shd w:val="clear" w:color="auto" w:fill="auto"/>
        </w:rPr>
      </w:pPr>
      <w:r>
        <w:rPr>
          <w:rFonts w:hint="eastAsia"/>
          <w:b/>
          <w:color w:val="000000"/>
          <w:sz w:val="36"/>
          <w:szCs w:val="36"/>
          <w:highlight w:val="none"/>
          <w:shd w:val="clear" w:color="auto" w:fill="auto"/>
        </w:rPr>
        <w:t>   日   期 ：</w:t>
      </w:r>
      <w:r>
        <w:rPr>
          <w:rFonts w:hint="eastAsia"/>
          <w:b/>
          <w:color w:val="000000"/>
          <w:sz w:val="36"/>
          <w:szCs w:val="36"/>
          <w:highlight w:val="none"/>
          <w:u w:val="single"/>
          <w:shd w:val="clear" w:color="auto" w:fill="auto"/>
        </w:rPr>
        <w:t xml:space="preserve">              </w:t>
      </w:r>
    </w:p>
    <w:p w14:paraId="77E56FAA">
      <w:pPr>
        <w:pStyle w:val="212"/>
        <w:widowControl w:val="0"/>
        <w:spacing w:before="0" w:beforeAutospacing="0" w:after="0" w:afterAutospacing="0" w:line="0" w:lineRule="atLeast"/>
        <w:jc w:val="center"/>
        <w:rPr>
          <w:color w:val="000000"/>
          <w:highlight w:val="none"/>
          <w:shd w:val="clear" w:color="auto" w:fill="auto"/>
        </w:rPr>
      </w:pPr>
      <w:r>
        <w:rPr>
          <w:color w:val="000000"/>
          <w:highlight w:val="none"/>
          <w:shd w:val="clear" w:color="auto" w:fill="auto"/>
        </w:rPr>
        <w:t> </w:t>
      </w:r>
    </w:p>
    <w:p w14:paraId="2A57B588">
      <w:pPr>
        <w:pStyle w:val="212"/>
        <w:widowControl w:val="0"/>
        <w:spacing w:before="0" w:beforeAutospacing="0" w:after="0" w:afterAutospacing="0" w:line="0" w:lineRule="atLeast"/>
        <w:jc w:val="both"/>
        <w:rPr>
          <w:color w:val="000000"/>
          <w:highlight w:val="none"/>
          <w:shd w:val="clear" w:color="auto" w:fill="auto"/>
        </w:rPr>
      </w:pPr>
      <w:r>
        <w:rPr>
          <w:color w:val="000000"/>
          <w:highlight w:val="none"/>
          <w:shd w:val="clear" w:color="auto" w:fill="auto"/>
        </w:rPr>
        <w:t> </w:t>
      </w:r>
    </w:p>
    <w:p w14:paraId="08D56966">
      <w:pPr>
        <w:pStyle w:val="212"/>
        <w:widowControl w:val="0"/>
        <w:spacing w:before="0" w:beforeAutospacing="0" w:after="0" w:afterAutospacing="0"/>
        <w:ind w:firstLine="1084"/>
        <w:jc w:val="both"/>
        <w:rPr>
          <w:color w:val="000000"/>
          <w:highlight w:val="none"/>
          <w:shd w:val="clear" w:color="auto" w:fill="auto"/>
        </w:rPr>
      </w:pPr>
      <w:r>
        <w:rPr>
          <w:rFonts w:hint="eastAsia"/>
          <w:b/>
          <w:color w:val="000000"/>
          <w:sz w:val="36"/>
          <w:szCs w:val="36"/>
          <w:highlight w:val="none"/>
          <w:u w:val="single"/>
          <w:shd w:val="clear" w:color="auto" w:fill="auto"/>
        </w:rPr>
        <w:br w:type="page" w:clear="all"/>
      </w:r>
    </w:p>
    <w:p w14:paraId="00E359F1">
      <w:pPr>
        <w:pStyle w:val="212"/>
        <w:widowControl w:val="0"/>
        <w:spacing w:before="0" w:beforeAutospacing="0" w:after="0" w:afterAutospacing="0" w:line="0" w:lineRule="atLeast"/>
        <w:jc w:val="center"/>
        <w:rPr>
          <w:color w:val="000000"/>
          <w:highlight w:val="none"/>
          <w:shd w:val="clear" w:color="auto" w:fill="auto"/>
        </w:rPr>
      </w:pPr>
      <w:r>
        <w:rPr>
          <w:rFonts w:hint="eastAsia"/>
          <w:b/>
          <w:color w:val="000000"/>
          <w:sz w:val="32"/>
          <w:szCs w:val="32"/>
          <w:highlight w:val="none"/>
          <w:shd w:val="clear" w:color="auto" w:fill="auto"/>
        </w:rPr>
        <w:t>响应文件目录</w:t>
      </w:r>
    </w:p>
    <w:p w14:paraId="03360B89">
      <w:pPr>
        <w:pStyle w:val="212"/>
        <w:widowControl w:val="0"/>
        <w:spacing w:before="0" w:beforeAutospacing="0" w:after="0" w:afterAutospacing="0" w:line="0" w:lineRule="atLeast"/>
        <w:jc w:val="center"/>
        <w:rPr>
          <w:color w:val="000000"/>
          <w:highlight w:val="none"/>
          <w:shd w:val="clear" w:color="auto" w:fill="auto"/>
        </w:rPr>
      </w:pPr>
      <w:r>
        <w:rPr>
          <w:color w:val="000000"/>
          <w:highlight w:val="none"/>
          <w:shd w:val="clear" w:color="auto" w:fill="auto"/>
        </w:rPr>
        <w:t> </w:t>
      </w:r>
    </w:p>
    <w:p w14:paraId="7AB0CBB7">
      <w:pPr>
        <w:spacing w:line="440" w:lineRule="exact"/>
        <w:ind w:firstLine="480"/>
        <w:rPr>
          <w:rFonts w:hint="eastAsia" w:ascii="宋体" w:hAnsi="宋体" w:eastAsia="宋体" w:cs="宋体"/>
          <w:i/>
          <w:iCs/>
          <w:color w:val="000000"/>
          <w:sz w:val="24"/>
          <w:u w:val="single"/>
        </w:rPr>
      </w:pPr>
      <w:r>
        <w:rPr>
          <w:rFonts w:hint="eastAsia" w:ascii="宋体" w:hAnsi="宋体" w:eastAsia="宋体" w:cs="宋体"/>
          <w:i/>
          <w:iCs/>
          <w:color w:val="000000"/>
          <w:sz w:val="24"/>
          <w:u w:val="single"/>
        </w:rPr>
        <w:t>一、法人或者其他组织的营业执照等证明文件，自然人的身份证明</w:t>
      </w:r>
    </w:p>
    <w:p w14:paraId="2C6120ED">
      <w:pPr>
        <w:spacing w:line="440" w:lineRule="exact"/>
        <w:ind w:firstLine="480"/>
        <w:rPr>
          <w:rFonts w:hint="eastAsia" w:ascii="宋体" w:hAnsi="宋体" w:eastAsia="宋体" w:cs="宋体"/>
          <w:i/>
          <w:iCs/>
          <w:color w:val="000000"/>
          <w:sz w:val="24"/>
          <w:u w:val="single"/>
        </w:rPr>
      </w:pPr>
      <w:r>
        <w:rPr>
          <w:rFonts w:hint="eastAsia" w:ascii="宋体" w:hAnsi="宋体" w:eastAsia="宋体" w:cs="宋体"/>
          <w:i/>
          <w:iCs/>
          <w:color w:val="000000"/>
          <w:sz w:val="24"/>
          <w:u w:val="single"/>
        </w:rPr>
        <w:t>二、上一年度（</w:t>
      </w:r>
      <w:r>
        <w:rPr>
          <w:rFonts w:hint="eastAsia" w:ascii="宋体" w:hAnsi="宋体" w:cs="宋体"/>
          <w:i/>
          <w:iCs/>
          <w:color w:val="000000"/>
          <w:sz w:val="24"/>
          <w:u w:val="single"/>
          <w:lang w:eastAsia="zh-CN"/>
        </w:rPr>
        <w:t>2024年度</w:t>
      </w:r>
      <w:r>
        <w:rPr>
          <w:rFonts w:hint="eastAsia" w:ascii="宋体" w:hAnsi="宋体" w:eastAsia="宋体" w:cs="宋体"/>
          <w:i/>
          <w:iCs/>
          <w:color w:val="000000"/>
          <w:sz w:val="24"/>
          <w:u w:val="single"/>
        </w:rPr>
        <w:t>）的财务状况报表（至少提供资产负债表、利润表</w:t>
      </w:r>
      <w:r>
        <w:rPr>
          <w:rFonts w:hint="eastAsia" w:ascii="宋体" w:hAnsi="宋体" w:eastAsia="宋体" w:cs="宋体"/>
          <w:i/>
          <w:iCs/>
          <w:color w:val="000000"/>
          <w:sz w:val="24"/>
          <w:u w:val="single"/>
          <w:lang w:eastAsia="zh-CN"/>
        </w:rPr>
        <w:t>，</w:t>
      </w:r>
      <w:r>
        <w:rPr>
          <w:rFonts w:hint="eastAsia" w:ascii="宋体" w:hAnsi="宋体" w:eastAsia="宋体" w:cs="宋体"/>
          <w:i/>
          <w:iCs/>
          <w:color w:val="000000"/>
          <w:sz w:val="24"/>
          <w:u w:val="single"/>
        </w:rPr>
        <w:t>投标人成立不满一年无需提供）</w:t>
      </w:r>
    </w:p>
    <w:p w14:paraId="3739978E">
      <w:pPr>
        <w:spacing w:line="440" w:lineRule="exact"/>
        <w:ind w:firstLine="480"/>
        <w:rPr>
          <w:rFonts w:hint="eastAsia" w:ascii="宋体" w:hAnsi="宋体" w:eastAsia="宋体" w:cs="宋体"/>
          <w:i/>
          <w:iCs/>
          <w:color w:val="000000"/>
          <w:sz w:val="24"/>
          <w:u w:val="single"/>
        </w:rPr>
      </w:pPr>
      <w:r>
        <w:rPr>
          <w:rFonts w:hint="eastAsia" w:ascii="宋体" w:hAnsi="宋体" w:eastAsia="宋体" w:cs="宋体"/>
          <w:i/>
          <w:iCs/>
          <w:color w:val="000000"/>
          <w:sz w:val="24"/>
          <w:u w:val="single"/>
        </w:rPr>
        <w:t>三、具备履行合同所必需的设备和专业技术能力的书面声明</w:t>
      </w:r>
    </w:p>
    <w:p w14:paraId="2F110AB9">
      <w:pPr>
        <w:spacing w:line="440" w:lineRule="exact"/>
        <w:ind w:firstLine="480"/>
        <w:rPr>
          <w:rFonts w:hint="eastAsia" w:ascii="宋体" w:hAnsi="宋体" w:eastAsia="宋体" w:cs="宋体"/>
          <w:i/>
          <w:iCs/>
          <w:color w:val="000000"/>
          <w:sz w:val="24"/>
          <w:u w:val="single"/>
        </w:rPr>
      </w:pPr>
      <w:r>
        <w:rPr>
          <w:rFonts w:hint="eastAsia" w:ascii="宋体" w:hAnsi="宋体" w:eastAsia="宋体" w:cs="宋体"/>
          <w:i/>
          <w:iCs/>
          <w:color w:val="000000"/>
          <w:sz w:val="24"/>
          <w:u w:val="single"/>
        </w:rPr>
        <w:t>四、依法缴纳税收和社会保障资金的相关材料（提供提交投标文件截止时间前一年内至少一个月依法缴纳税收及缴纳社会保障资金的证明材料。投标人依法享受缓缴、免缴税收、社会保障资金的提供证明材料。）</w:t>
      </w:r>
    </w:p>
    <w:p w14:paraId="23DEC8F8">
      <w:pPr>
        <w:spacing w:line="440" w:lineRule="exact"/>
        <w:ind w:firstLine="480"/>
        <w:rPr>
          <w:rFonts w:hint="eastAsia" w:ascii="宋体" w:hAnsi="宋体" w:eastAsia="宋体" w:cs="宋体"/>
          <w:i/>
          <w:iCs/>
          <w:color w:val="000000"/>
          <w:sz w:val="24"/>
          <w:u w:val="single"/>
        </w:rPr>
      </w:pPr>
      <w:r>
        <w:rPr>
          <w:rFonts w:hint="eastAsia" w:ascii="宋体" w:hAnsi="宋体" w:eastAsia="宋体" w:cs="宋体"/>
          <w:i/>
          <w:iCs/>
          <w:color w:val="000000"/>
          <w:sz w:val="24"/>
          <w:u w:val="single"/>
        </w:rPr>
        <w:t>五、参加政府采购活动前 3 年内在经营活动中没有重大违法记录的书面声明</w:t>
      </w:r>
    </w:p>
    <w:p w14:paraId="049B318A">
      <w:pPr>
        <w:spacing w:line="440" w:lineRule="exact"/>
        <w:ind w:firstLine="480"/>
        <w:rPr>
          <w:rFonts w:hint="eastAsia" w:ascii="宋体" w:hAnsi="宋体" w:eastAsia="宋体" w:cs="宋体"/>
          <w:i/>
          <w:iCs/>
          <w:color w:val="000000"/>
          <w:sz w:val="24"/>
          <w:u w:val="single"/>
        </w:rPr>
      </w:pPr>
      <w:r>
        <w:rPr>
          <w:rFonts w:hint="eastAsia" w:ascii="宋体" w:hAnsi="宋体" w:eastAsia="宋体" w:cs="宋体"/>
          <w:i/>
          <w:iCs/>
          <w:color w:val="000000"/>
          <w:sz w:val="24"/>
          <w:u w:val="single"/>
        </w:rPr>
        <w:t>六、特定资格要求的证明文件（如果本项目设置特定资格要求，则需要提供）</w:t>
      </w:r>
    </w:p>
    <w:p w14:paraId="4B9C323E">
      <w:pPr>
        <w:spacing w:line="440" w:lineRule="exact"/>
        <w:ind w:firstLine="480"/>
        <w:rPr>
          <w:rFonts w:hint="eastAsia" w:ascii="宋体" w:hAnsi="宋体" w:eastAsia="宋体" w:cs="宋体"/>
          <w:i/>
          <w:iCs/>
          <w:color w:val="000000"/>
          <w:sz w:val="24"/>
          <w:u w:val="single"/>
        </w:rPr>
      </w:pPr>
      <w:r>
        <w:rPr>
          <w:rFonts w:hint="eastAsia" w:ascii="宋体" w:hAnsi="宋体" w:eastAsia="宋体" w:cs="宋体"/>
          <w:i/>
          <w:iCs/>
          <w:color w:val="000000"/>
          <w:sz w:val="24"/>
          <w:u w:val="single"/>
        </w:rPr>
        <w:t>七、法人授权书</w:t>
      </w:r>
    </w:p>
    <w:p w14:paraId="5323DFF8">
      <w:pPr>
        <w:spacing w:line="440" w:lineRule="exact"/>
        <w:ind w:firstLine="480"/>
        <w:rPr>
          <w:rFonts w:hint="eastAsia" w:ascii="宋体" w:hAnsi="宋体" w:eastAsia="宋体" w:cs="宋体"/>
          <w:i/>
          <w:iCs/>
          <w:color w:val="000000"/>
          <w:sz w:val="24"/>
          <w:u w:val="single"/>
        </w:rPr>
      </w:pPr>
      <w:r>
        <w:rPr>
          <w:rFonts w:hint="eastAsia" w:ascii="宋体" w:hAnsi="宋体" w:eastAsia="宋体" w:cs="宋体"/>
          <w:i/>
          <w:iCs/>
          <w:color w:val="000000"/>
          <w:sz w:val="24"/>
          <w:u w:val="single"/>
        </w:rPr>
        <w:t>八、询价响应函</w:t>
      </w:r>
    </w:p>
    <w:p w14:paraId="72729CB8">
      <w:pPr>
        <w:pStyle w:val="212"/>
        <w:widowControl w:val="0"/>
        <w:spacing w:before="0" w:beforeAutospacing="0" w:after="0" w:afterAutospacing="0" w:line="0" w:lineRule="atLeast"/>
        <w:ind w:firstLine="480"/>
        <w:jc w:val="both"/>
        <w:rPr>
          <w:rFonts w:hint="eastAsia" w:ascii="宋体" w:hAnsi="宋体" w:eastAsia="宋体" w:cs="宋体"/>
          <w:i w:val="0"/>
          <w:iCs/>
          <w:color w:val="000000"/>
          <w:sz w:val="24"/>
          <w:szCs w:val="24"/>
          <w:highlight w:val="none"/>
          <w:u w:val="none"/>
          <w:shd w:val="clear" w:color="auto" w:fill="auto"/>
        </w:rPr>
      </w:pPr>
      <w:r>
        <w:rPr>
          <w:rFonts w:hint="eastAsia" w:ascii="宋体" w:hAnsi="宋体" w:eastAsia="宋体" w:cs="宋体"/>
          <w:i w:val="0"/>
          <w:iCs/>
          <w:color w:val="000000"/>
          <w:sz w:val="24"/>
          <w:szCs w:val="24"/>
          <w:highlight w:val="none"/>
          <w:u w:val="none"/>
          <w:shd w:val="clear" w:color="auto" w:fill="auto"/>
        </w:rPr>
        <w:t>九、</w:t>
      </w:r>
      <w:r>
        <w:rPr>
          <w:rFonts w:hint="eastAsia" w:ascii="宋体" w:hAnsi="宋体" w:eastAsia="宋体" w:cs="宋体"/>
          <w:i w:val="0"/>
          <w:iCs/>
          <w:color w:val="000000"/>
          <w:sz w:val="24"/>
          <w:szCs w:val="24"/>
          <w:highlight w:val="none"/>
          <w:u w:val="none"/>
          <w:lang w:val="en-US" w:eastAsia="zh-CN"/>
        </w:rPr>
        <w:t>中小</w:t>
      </w:r>
      <w:r>
        <w:rPr>
          <w:rFonts w:hint="eastAsia" w:ascii="宋体" w:hAnsi="宋体" w:eastAsia="宋体" w:cs="宋体"/>
          <w:i w:val="0"/>
          <w:iCs/>
          <w:color w:val="000000"/>
          <w:sz w:val="24"/>
          <w:szCs w:val="24"/>
          <w:highlight w:val="none"/>
          <w:u w:val="none"/>
        </w:rPr>
        <w:t>企业</w:t>
      </w:r>
      <w:r>
        <w:rPr>
          <w:rFonts w:hint="eastAsia" w:ascii="宋体" w:hAnsi="宋体" w:eastAsia="宋体" w:cs="宋体"/>
          <w:i w:val="0"/>
          <w:iCs/>
          <w:color w:val="000000"/>
          <w:sz w:val="24"/>
          <w:szCs w:val="24"/>
          <w:highlight w:val="none"/>
          <w:u w:val="none"/>
          <w:lang w:eastAsia="zh-CN"/>
        </w:rPr>
        <w:t>声</w:t>
      </w:r>
      <w:r>
        <w:rPr>
          <w:rFonts w:hint="eastAsia" w:ascii="宋体" w:hAnsi="宋体" w:eastAsia="宋体" w:cs="宋体"/>
          <w:i w:val="0"/>
          <w:iCs/>
          <w:color w:val="000000"/>
          <w:sz w:val="24"/>
          <w:szCs w:val="24"/>
          <w:highlight w:val="none"/>
          <w:u w:val="none"/>
        </w:rPr>
        <w:t>明函</w:t>
      </w:r>
    </w:p>
    <w:p w14:paraId="4A111BB6">
      <w:pPr>
        <w:pStyle w:val="212"/>
        <w:widowControl w:val="0"/>
        <w:spacing w:before="0" w:beforeAutospacing="0" w:after="0" w:afterAutospacing="0" w:line="0" w:lineRule="atLeast"/>
        <w:ind w:firstLine="480"/>
        <w:jc w:val="both"/>
        <w:rPr>
          <w:rFonts w:hint="eastAsia" w:ascii="宋体" w:hAnsi="宋体" w:eastAsia="宋体" w:cs="宋体"/>
          <w:i w:val="0"/>
          <w:iCs/>
          <w:color w:val="000000"/>
          <w:sz w:val="24"/>
          <w:szCs w:val="24"/>
          <w:highlight w:val="none"/>
          <w:u w:val="none"/>
          <w:shd w:val="clear" w:color="auto" w:fill="auto"/>
        </w:rPr>
      </w:pPr>
      <w:r>
        <w:rPr>
          <w:rFonts w:hint="eastAsia" w:ascii="宋体" w:hAnsi="宋体" w:eastAsia="宋体" w:cs="宋体"/>
          <w:i w:val="0"/>
          <w:iCs/>
          <w:color w:val="000000"/>
          <w:sz w:val="24"/>
          <w:szCs w:val="24"/>
          <w:highlight w:val="none"/>
          <w:u w:val="none"/>
          <w:shd w:val="clear" w:color="auto" w:fill="auto"/>
        </w:rPr>
        <w:t>十、残疾人福利性单位声明函</w:t>
      </w:r>
    </w:p>
    <w:p w14:paraId="130100F8">
      <w:pPr>
        <w:pStyle w:val="212"/>
        <w:widowControl w:val="0"/>
        <w:spacing w:before="0" w:beforeAutospacing="0" w:after="0" w:afterAutospacing="0" w:line="0" w:lineRule="atLeast"/>
        <w:ind w:firstLine="480"/>
        <w:jc w:val="both"/>
        <w:rPr>
          <w:rFonts w:hint="eastAsia" w:ascii="宋体" w:hAnsi="宋体" w:eastAsia="宋体" w:cs="宋体"/>
          <w:i w:val="0"/>
          <w:iCs/>
          <w:color w:val="000000"/>
          <w:sz w:val="24"/>
          <w:szCs w:val="24"/>
          <w:highlight w:val="none"/>
          <w:u w:val="none"/>
          <w:shd w:val="clear" w:color="auto" w:fill="auto"/>
        </w:rPr>
      </w:pPr>
      <w:r>
        <w:rPr>
          <w:rFonts w:hint="eastAsia" w:ascii="宋体" w:hAnsi="宋体" w:eastAsia="宋体" w:cs="宋体"/>
          <w:i w:val="0"/>
          <w:iCs/>
          <w:color w:val="000000"/>
          <w:sz w:val="24"/>
          <w:szCs w:val="24"/>
          <w:highlight w:val="none"/>
          <w:u w:val="none"/>
          <w:shd w:val="clear" w:color="auto" w:fill="auto"/>
        </w:rPr>
        <w:t>十一、分项报价表</w:t>
      </w:r>
    </w:p>
    <w:p w14:paraId="7883F166">
      <w:pPr>
        <w:pStyle w:val="212"/>
        <w:widowControl w:val="0"/>
        <w:spacing w:before="0" w:beforeAutospacing="0" w:after="0" w:afterAutospacing="0" w:line="0" w:lineRule="atLeast"/>
        <w:ind w:firstLine="480"/>
        <w:jc w:val="both"/>
        <w:rPr>
          <w:rFonts w:hint="eastAsia" w:ascii="宋体" w:hAnsi="宋体" w:eastAsia="宋体" w:cs="宋体"/>
          <w:i w:val="0"/>
          <w:iCs/>
          <w:color w:val="000000"/>
          <w:sz w:val="24"/>
          <w:szCs w:val="24"/>
          <w:highlight w:val="none"/>
          <w:u w:val="none"/>
          <w:shd w:val="clear" w:color="auto" w:fill="auto"/>
        </w:rPr>
      </w:pPr>
      <w:r>
        <w:rPr>
          <w:rFonts w:hint="eastAsia" w:ascii="宋体" w:hAnsi="宋体" w:eastAsia="宋体" w:cs="宋体"/>
          <w:i w:val="0"/>
          <w:iCs/>
          <w:color w:val="000000"/>
          <w:sz w:val="24"/>
          <w:szCs w:val="24"/>
          <w:highlight w:val="none"/>
          <w:u w:val="none"/>
          <w:shd w:val="clear" w:color="auto" w:fill="auto"/>
        </w:rPr>
        <w:t>十</w:t>
      </w:r>
      <w:r>
        <w:rPr>
          <w:rFonts w:hint="eastAsia" w:eastAsia="宋体" w:cs="宋体"/>
          <w:i w:val="0"/>
          <w:iCs/>
          <w:color w:val="000000"/>
          <w:sz w:val="24"/>
          <w:szCs w:val="24"/>
          <w:highlight w:val="none"/>
          <w:u w:val="none"/>
          <w:shd w:val="clear" w:color="auto" w:fill="auto"/>
          <w:lang w:val="en-US" w:eastAsia="zh-CN"/>
        </w:rPr>
        <w:t>二</w:t>
      </w:r>
      <w:r>
        <w:rPr>
          <w:rFonts w:hint="eastAsia" w:ascii="宋体" w:hAnsi="宋体" w:eastAsia="宋体" w:cs="宋体"/>
          <w:i w:val="0"/>
          <w:iCs/>
          <w:color w:val="000000"/>
          <w:sz w:val="24"/>
          <w:szCs w:val="24"/>
          <w:highlight w:val="none"/>
          <w:u w:val="none"/>
          <w:shd w:val="clear" w:color="auto" w:fill="auto"/>
        </w:rPr>
        <w:t>、技术要求响应及偏离表</w:t>
      </w:r>
    </w:p>
    <w:p w14:paraId="5BB2E94D">
      <w:pPr>
        <w:pStyle w:val="212"/>
        <w:widowControl w:val="0"/>
        <w:spacing w:before="0" w:beforeAutospacing="0" w:after="0" w:afterAutospacing="0" w:line="0" w:lineRule="atLeast"/>
        <w:ind w:firstLine="480"/>
        <w:jc w:val="both"/>
        <w:rPr>
          <w:rFonts w:hint="eastAsia" w:ascii="宋体" w:hAnsi="宋体" w:eastAsia="宋体" w:cs="宋体"/>
          <w:i w:val="0"/>
          <w:iCs/>
          <w:color w:val="000000"/>
          <w:sz w:val="24"/>
          <w:szCs w:val="24"/>
          <w:highlight w:val="none"/>
          <w:u w:val="none"/>
          <w:shd w:val="clear" w:color="auto" w:fill="auto"/>
        </w:rPr>
      </w:pPr>
      <w:r>
        <w:rPr>
          <w:rFonts w:hint="eastAsia" w:ascii="宋体" w:hAnsi="宋体" w:eastAsia="宋体" w:cs="宋体"/>
          <w:i w:val="0"/>
          <w:iCs/>
          <w:color w:val="000000"/>
          <w:sz w:val="24"/>
          <w:szCs w:val="24"/>
          <w:highlight w:val="none"/>
          <w:u w:val="none"/>
          <w:shd w:val="clear" w:color="auto" w:fill="auto"/>
        </w:rPr>
        <w:t>十</w:t>
      </w:r>
      <w:r>
        <w:rPr>
          <w:rFonts w:hint="eastAsia" w:eastAsia="宋体" w:cs="宋体"/>
          <w:i w:val="0"/>
          <w:iCs/>
          <w:color w:val="000000"/>
          <w:sz w:val="24"/>
          <w:szCs w:val="24"/>
          <w:highlight w:val="none"/>
          <w:u w:val="none"/>
          <w:shd w:val="clear" w:color="auto" w:fill="auto"/>
          <w:lang w:val="en-US" w:eastAsia="zh-CN"/>
        </w:rPr>
        <w:t>三</w:t>
      </w:r>
      <w:r>
        <w:rPr>
          <w:rFonts w:hint="eastAsia" w:ascii="宋体" w:hAnsi="宋体" w:eastAsia="宋体" w:cs="宋体"/>
          <w:i w:val="0"/>
          <w:iCs/>
          <w:color w:val="000000"/>
          <w:sz w:val="24"/>
          <w:szCs w:val="24"/>
          <w:highlight w:val="none"/>
          <w:u w:val="none"/>
          <w:shd w:val="clear" w:color="auto" w:fill="auto"/>
        </w:rPr>
        <w:t>、商务要求响应及偏离表</w:t>
      </w:r>
    </w:p>
    <w:p w14:paraId="7120E9A1">
      <w:pPr>
        <w:pStyle w:val="212"/>
        <w:spacing w:beforeAutospacing="0" w:afterAutospacing="0" w:line="0" w:lineRule="atLeast"/>
        <w:ind w:firstLine="480"/>
        <w:jc w:val="both"/>
        <w:rPr>
          <w:rFonts w:hint="eastAsia" w:ascii="宋体" w:hAnsi="宋体" w:eastAsia="宋体" w:cs="宋体"/>
          <w:i/>
          <w:iCs w:val="0"/>
          <w:color w:val="000000"/>
          <w:sz w:val="24"/>
          <w:szCs w:val="24"/>
          <w:highlight w:val="none"/>
          <w:u w:val="single"/>
          <w:shd w:val="clear" w:color="auto" w:fill="auto"/>
        </w:rPr>
      </w:pPr>
      <w:r>
        <w:rPr>
          <w:rFonts w:hint="eastAsia" w:ascii="宋体" w:hAnsi="宋体" w:eastAsia="宋体" w:cs="宋体"/>
          <w:i/>
          <w:iCs w:val="0"/>
          <w:color w:val="000000"/>
          <w:sz w:val="24"/>
          <w:szCs w:val="24"/>
          <w:highlight w:val="none"/>
          <w:u w:val="single"/>
          <w:shd w:val="clear" w:color="auto" w:fill="auto"/>
        </w:rPr>
        <w:t>十</w:t>
      </w:r>
      <w:r>
        <w:rPr>
          <w:rFonts w:hint="eastAsia" w:eastAsia="宋体" w:cs="宋体"/>
          <w:i/>
          <w:iCs w:val="0"/>
          <w:color w:val="000000"/>
          <w:sz w:val="24"/>
          <w:szCs w:val="24"/>
          <w:highlight w:val="none"/>
          <w:u w:val="single"/>
          <w:shd w:val="clear" w:color="auto" w:fill="auto"/>
          <w:lang w:val="en-US" w:eastAsia="zh-CN"/>
        </w:rPr>
        <w:t>四</w:t>
      </w:r>
      <w:r>
        <w:rPr>
          <w:rFonts w:hint="eastAsia" w:ascii="宋体" w:hAnsi="宋体" w:eastAsia="宋体" w:cs="宋体"/>
          <w:i/>
          <w:iCs w:val="0"/>
          <w:color w:val="000000"/>
          <w:sz w:val="24"/>
          <w:szCs w:val="24"/>
          <w:highlight w:val="none"/>
          <w:u w:val="single"/>
          <w:shd w:val="clear" w:color="auto" w:fill="auto"/>
        </w:rPr>
        <w:t>、开标一览表</w:t>
      </w:r>
    </w:p>
    <w:p w14:paraId="29E2CD80">
      <w:pPr>
        <w:widowControl/>
        <w:spacing w:before="50" w:after="50"/>
        <w:ind w:firstLine="480"/>
        <w:rPr>
          <w:rFonts w:hint="eastAsia" w:ascii="宋体" w:hAnsi="宋体" w:eastAsia="宋体" w:cs="宋体"/>
          <w:i w:val="0"/>
          <w:iCs/>
          <w:color w:val="000000"/>
          <w:sz w:val="24"/>
          <w:szCs w:val="24"/>
          <w:highlight w:val="none"/>
          <w:u w:val="none"/>
          <w:shd w:val="clear" w:color="auto" w:fill="auto"/>
        </w:rPr>
      </w:pPr>
      <w:r>
        <w:rPr>
          <w:rFonts w:hint="eastAsia" w:ascii="宋体" w:hAnsi="宋体" w:eastAsia="宋体" w:cs="宋体"/>
          <w:i w:val="0"/>
          <w:iCs/>
          <w:color w:val="000000"/>
          <w:sz w:val="24"/>
          <w:szCs w:val="24"/>
          <w:highlight w:val="none"/>
          <w:u w:val="none"/>
          <w:shd w:val="clear" w:color="auto" w:fill="auto"/>
        </w:rPr>
        <w:t>十</w:t>
      </w:r>
      <w:r>
        <w:rPr>
          <w:rFonts w:hint="eastAsia" w:ascii="宋体" w:hAnsi="宋体" w:eastAsia="宋体" w:cs="宋体"/>
          <w:i w:val="0"/>
          <w:iCs/>
          <w:color w:val="000000"/>
          <w:sz w:val="24"/>
          <w:szCs w:val="24"/>
          <w:highlight w:val="none"/>
          <w:u w:val="none"/>
          <w:shd w:val="clear" w:color="auto" w:fill="auto"/>
          <w:lang w:val="en-US" w:eastAsia="zh-CN"/>
        </w:rPr>
        <w:t>五</w:t>
      </w:r>
      <w:r>
        <w:rPr>
          <w:rFonts w:hint="eastAsia" w:ascii="宋体" w:hAnsi="宋体" w:eastAsia="宋体" w:cs="宋体"/>
          <w:i w:val="0"/>
          <w:iCs/>
          <w:color w:val="000000"/>
          <w:sz w:val="24"/>
          <w:szCs w:val="24"/>
          <w:highlight w:val="none"/>
          <w:u w:val="none"/>
          <w:shd w:val="clear" w:color="auto" w:fill="auto"/>
        </w:rPr>
        <w:t>、</w:t>
      </w:r>
      <w:r>
        <w:rPr>
          <w:rFonts w:hint="eastAsia" w:ascii="宋体" w:hAnsi="宋体" w:eastAsia="宋体" w:cs="宋体"/>
          <w:i w:val="0"/>
          <w:iCs/>
          <w:color w:val="000000"/>
          <w:sz w:val="24"/>
          <w:szCs w:val="24"/>
          <w:highlight w:val="none"/>
          <w:u w:val="none"/>
          <w:shd w:val="clear" w:color="auto" w:fill="auto"/>
          <w:lang w:val="en-US" w:eastAsia="zh-CN"/>
        </w:rPr>
        <w:t>采购需求所需的相关服务</w:t>
      </w:r>
      <w:r>
        <w:rPr>
          <w:rFonts w:hint="eastAsia" w:ascii="宋体" w:hAnsi="宋体" w:eastAsia="宋体" w:cs="宋体"/>
          <w:i w:val="0"/>
          <w:iCs/>
          <w:color w:val="000000"/>
          <w:sz w:val="24"/>
          <w:szCs w:val="24"/>
          <w:highlight w:val="none"/>
          <w:u w:val="none"/>
          <w:shd w:val="clear" w:color="auto" w:fill="auto"/>
        </w:rPr>
        <w:t>承诺</w:t>
      </w:r>
    </w:p>
    <w:p w14:paraId="36AD3573">
      <w:pPr>
        <w:widowControl/>
        <w:spacing w:before="50" w:after="50"/>
        <w:ind w:firstLine="480"/>
        <w:rPr>
          <w:rFonts w:hint="eastAsia" w:ascii="宋体" w:hAnsi="宋体" w:eastAsia="宋体" w:cs="宋体"/>
          <w:i w:val="0"/>
          <w:iCs/>
          <w:color w:val="000000"/>
          <w:sz w:val="24"/>
          <w:szCs w:val="24"/>
          <w:highlight w:val="none"/>
          <w:u w:val="none"/>
          <w:shd w:val="clear" w:color="auto" w:fill="auto"/>
        </w:rPr>
      </w:pPr>
      <w:r>
        <w:rPr>
          <w:rFonts w:hint="eastAsia" w:ascii="宋体" w:hAnsi="宋体" w:eastAsia="宋体" w:cs="宋体"/>
          <w:i w:val="0"/>
          <w:iCs/>
          <w:color w:val="000000"/>
          <w:sz w:val="24"/>
          <w:szCs w:val="24"/>
          <w:highlight w:val="none"/>
          <w:u w:val="none"/>
          <w:shd w:val="clear" w:color="auto" w:fill="auto"/>
          <w:lang w:val="en-US" w:eastAsia="zh-CN"/>
        </w:rPr>
        <w:t>十六、售后服务方案</w:t>
      </w:r>
    </w:p>
    <w:p w14:paraId="4AA266D8">
      <w:pPr>
        <w:pStyle w:val="212"/>
        <w:spacing w:beforeAutospacing="0" w:afterAutospacing="0" w:line="360" w:lineRule="auto"/>
        <w:ind w:firstLine="480"/>
        <w:jc w:val="both"/>
        <w:rPr>
          <w:rFonts w:hint="eastAsia" w:ascii="宋体" w:hAnsi="宋体" w:eastAsia="宋体" w:cs="宋体"/>
          <w:i w:val="0"/>
          <w:iCs/>
          <w:color w:val="000000"/>
          <w:sz w:val="24"/>
          <w:szCs w:val="24"/>
          <w:highlight w:val="none"/>
          <w:u w:val="none"/>
          <w:shd w:val="clear" w:color="auto" w:fill="auto"/>
        </w:rPr>
      </w:pPr>
      <w:r>
        <w:rPr>
          <w:rFonts w:hint="eastAsia" w:ascii="宋体" w:hAnsi="宋体" w:eastAsia="宋体" w:cs="宋体"/>
          <w:i w:val="0"/>
          <w:iCs/>
          <w:color w:val="000000"/>
          <w:sz w:val="24"/>
          <w:szCs w:val="24"/>
          <w:highlight w:val="none"/>
          <w:u w:val="none"/>
          <w:shd w:val="clear" w:color="auto" w:fill="auto"/>
        </w:rPr>
        <w:t>十</w:t>
      </w:r>
      <w:r>
        <w:rPr>
          <w:rFonts w:hint="eastAsia" w:eastAsia="宋体" w:cs="宋体"/>
          <w:i w:val="0"/>
          <w:iCs/>
          <w:color w:val="000000"/>
          <w:sz w:val="24"/>
          <w:szCs w:val="24"/>
          <w:highlight w:val="none"/>
          <w:u w:val="none"/>
          <w:shd w:val="clear" w:color="auto" w:fill="auto"/>
          <w:lang w:val="en-US" w:eastAsia="zh-CN"/>
        </w:rPr>
        <w:t>七</w:t>
      </w:r>
      <w:r>
        <w:rPr>
          <w:rFonts w:hint="eastAsia" w:ascii="宋体" w:hAnsi="宋体" w:eastAsia="宋体" w:cs="宋体"/>
          <w:i w:val="0"/>
          <w:iCs/>
          <w:color w:val="000000"/>
          <w:sz w:val="24"/>
          <w:szCs w:val="24"/>
          <w:highlight w:val="none"/>
          <w:u w:val="none"/>
          <w:shd w:val="clear" w:color="auto" w:fill="auto"/>
        </w:rPr>
        <w:t>、盐城市政府采购事前信用承诺书</w:t>
      </w:r>
    </w:p>
    <w:p w14:paraId="6BA950F1">
      <w:pPr>
        <w:pStyle w:val="212"/>
        <w:widowControl w:val="0"/>
        <w:spacing w:before="0" w:beforeAutospacing="0" w:after="0" w:afterAutospacing="0" w:line="0" w:lineRule="atLeast"/>
        <w:ind w:firstLine="480"/>
        <w:jc w:val="both"/>
        <w:rPr>
          <w:color w:val="000000"/>
          <w:highlight w:val="none"/>
          <w:shd w:val="clear" w:color="auto" w:fill="auto"/>
        </w:rPr>
      </w:pPr>
      <w:r>
        <w:rPr>
          <w:color w:val="000000"/>
          <w:highlight w:val="none"/>
          <w:shd w:val="clear" w:color="auto" w:fill="auto"/>
        </w:rPr>
        <w:t> </w:t>
      </w:r>
    </w:p>
    <w:p w14:paraId="137D754E">
      <w:pPr>
        <w:pStyle w:val="212"/>
        <w:widowControl w:val="0"/>
        <w:spacing w:before="0" w:beforeAutospacing="0" w:after="0" w:afterAutospacing="0" w:line="0" w:lineRule="atLeast"/>
        <w:ind w:firstLine="480"/>
        <w:jc w:val="both"/>
        <w:rPr>
          <w:color w:val="000000"/>
          <w:highlight w:val="none"/>
          <w:shd w:val="clear" w:color="auto" w:fill="auto"/>
        </w:rPr>
      </w:pPr>
      <w:r>
        <w:rPr>
          <w:color w:val="000000"/>
          <w:highlight w:val="none"/>
          <w:shd w:val="clear" w:color="auto" w:fill="auto"/>
        </w:rPr>
        <w:t> </w:t>
      </w:r>
    </w:p>
    <w:p w14:paraId="56C6C0C1">
      <w:pPr>
        <w:pStyle w:val="212"/>
        <w:widowControl w:val="0"/>
        <w:spacing w:before="0" w:beforeAutospacing="0" w:after="0" w:afterAutospacing="0" w:line="0" w:lineRule="atLeast"/>
        <w:ind w:firstLine="480"/>
        <w:jc w:val="both"/>
        <w:rPr>
          <w:color w:val="000000"/>
          <w:highlight w:val="none"/>
          <w:shd w:val="clear" w:color="auto" w:fill="auto"/>
        </w:rPr>
      </w:pPr>
      <w:r>
        <w:rPr>
          <w:color w:val="000000"/>
          <w:highlight w:val="none"/>
          <w:shd w:val="clear" w:color="auto" w:fill="auto"/>
        </w:rPr>
        <w:t> </w:t>
      </w:r>
    </w:p>
    <w:p w14:paraId="18292F21">
      <w:pPr>
        <w:pStyle w:val="212"/>
        <w:widowControl w:val="0"/>
        <w:spacing w:before="0" w:beforeAutospacing="0" w:after="0" w:afterAutospacing="0" w:line="0" w:lineRule="atLeast"/>
        <w:ind w:firstLine="480"/>
        <w:jc w:val="both"/>
        <w:rPr>
          <w:color w:val="000000"/>
          <w:highlight w:val="none"/>
          <w:shd w:val="clear" w:color="auto" w:fill="auto"/>
        </w:rPr>
      </w:pPr>
      <w:r>
        <w:rPr>
          <w:color w:val="000000"/>
          <w:highlight w:val="none"/>
          <w:shd w:val="clear" w:color="auto" w:fill="auto"/>
        </w:rPr>
        <w:t> </w:t>
      </w:r>
    </w:p>
    <w:p w14:paraId="48E596A6">
      <w:pPr>
        <w:pStyle w:val="212"/>
        <w:widowControl w:val="0"/>
        <w:spacing w:before="0" w:beforeAutospacing="0" w:after="0" w:afterAutospacing="0" w:line="0" w:lineRule="atLeast"/>
        <w:ind w:firstLine="480"/>
        <w:jc w:val="both"/>
        <w:rPr>
          <w:color w:val="000000"/>
          <w:highlight w:val="none"/>
          <w:shd w:val="clear" w:color="auto" w:fill="auto"/>
        </w:rPr>
      </w:pPr>
      <w:r>
        <w:rPr>
          <w:color w:val="000000"/>
          <w:highlight w:val="none"/>
          <w:shd w:val="clear" w:color="auto" w:fill="auto"/>
        </w:rPr>
        <w:t> </w:t>
      </w:r>
    </w:p>
    <w:p w14:paraId="16DD7F8A">
      <w:pPr>
        <w:pStyle w:val="212"/>
        <w:widowControl w:val="0"/>
        <w:spacing w:before="0" w:beforeAutospacing="0" w:after="0" w:afterAutospacing="0" w:line="0" w:lineRule="atLeast"/>
        <w:ind w:firstLine="480"/>
        <w:jc w:val="both"/>
        <w:rPr>
          <w:color w:val="000000"/>
          <w:highlight w:val="none"/>
          <w:shd w:val="clear" w:color="auto" w:fill="auto"/>
        </w:rPr>
      </w:pPr>
      <w:r>
        <w:rPr>
          <w:color w:val="000000"/>
          <w:highlight w:val="none"/>
          <w:shd w:val="clear" w:color="auto" w:fill="auto"/>
        </w:rPr>
        <w:t> </w:t>
      </w:r>
    </w:p>
    <w:p w14:paraId="5B7EBD35">
      <w:pPr>
        <w:pStyle w:val="212"/>
        <w:widowControl w:val="0"/>
        <w:spacing w:before="0" w:beforeAutospacing="0" w:after="0" w:afterAutospacing="0" w:line="0" w:lineRule="atLeast"/>
        <w:ind w:firstLine="480"/>
        <w:jc w:val="both"/>
        <w:rPr>
          <w:color w:val="000000"/>
          <w:highlight w:val="none"/>
          <w:shd w:val="clear" w:color="auto" w:fill="auto"/>
        </w:rPr>
      </w:pPr>
      <w:r>
        <w:rPr>
          <w:color w:val="000000"/>
          <w:highlight w:val="none"/>
          <w:shd w:val="clear" w:color="auto" w:fill="auto"/>
        </w:rPr>
        <w:t> </w:t>
      </w:r>
    </w:p>
    <w:p w14:paraId="52BAD13D">
      <w:pPr>
        <w:pStyle w:val="212"/>
        <w:widowControl w:val="0"/>
        <w:spacing w:before="0" w:beforeAutospacing="0" w:after="0" w:afterAutospacing="0" w:line="0" w:lineRule="atLeast"/>
        <w:ind w:firstLine="480"/>
        <w:jc w:val="both"/>
        <w:rPr>
          <w:color w:val="000000"/>
          <w:highlight w:val="none"/>
          <w:shd w:val="clear" w:color="auto" w:fill="auto"/>
        </w:rPr>
      </w:pPr>
      <w:r>
        <w:rPr>
          <w:color w:val="000000"/>
          <w:highlight w:val="none"/>
          <w:shd w:val="clear" w:color="auto" w:fill="auto"/>
        </w:rPr>
        <w:t> </w:t>
      </w:r>
    </w:p>
    <w:p w14:paraId="719F4346">
      <w:pPr>
        <w:pStyle w:val="212"/>
        <w:widowControl w:val="0"/>
        <w:spacing w:before="0" w:beforeAutospacing="0" w:after="0" w:afterAutospacing="0" w:line="0" w:lineRule="atLeast"/>
        <w:ind w:firstLine="480"/>
        <w:jc w:val="both"/>
        <w:rPr>
          <w:color w:val="000000"/>
          <w:highlight w:val="none"/>
          <w:shd w:val="clear" w:color="auto" w:fill="auto"/>
        </w:rPr>
      </w:pPr>
      <w:r>
        <w:rPr>
          <w:color w:val="000000"/>
          <w:highlight w:val="none"/>
          <w:shd w:val="clear" w:color="auto" w:fill="auto"/>
        </w:rPr>
        <w:t> </w:t>
      </w:r>
    </w:p>
    <w:p w14:paraId="5C51A666">
      <w:pPr>
        <w:pStyle w:val="212"/>
        <w:widowControl w:val="0"/>
        <w:spacing w:before="0" w:beforeAutospacing="0" w:after="0" w:afterAutospacing="0" w:line="0" w:lineRule="atLeast"/>
        <w:ind w:firstLine="480"/>
        <w:jc w:val="both"/>
        <w:rPr>
          <w:color w:val="000000"/>
          <w:highlight w:val="none"/>
          <w:shd w:val="clear" w:color="auto" w:fill="auto"/>
        </w:rPr>
      </w:pPr>
      <w:r>
        <w:rPr>
          <w:color w:val="000000"/>
          <w:highlight w:val="none"/>
          <w:shd w:val="clear" w:color="auto" w:fill="auto"/>
        </w:rPr>
        <w:t> </w:t>
      </w:r>
    </w:p>
    <w:p w14:paraId="41ADE55E">
      <w:pPr>
        <w:pStyle w:val="212"/>
        <w:widowControl w:val="0"/>
        <w:spacing w:before="0" w:beforeAutospacing="0" w:after="0" w:afterAutospacing="0"/>
        <w:jc w:val="both"/>
        <w:rPr>
          <w:rFonts w:hint="eastAsia" w:ascii="黑体" w:eastAsia="黑体" w:cs="黑体"/>
          <w:i/>
          <w:color w:val="000000"/>
          <w:sz w:val="32"/>
          <w:szCs w:val="32"/>
          <w:highlight w:val="none"/>
          <w:u w:val="single"/>
          <w:shd w:val="clear" w:color="auto" w:fill="auto"/>
        </w:rPr>
      </w:pPr>
      <w:r>
        <w:rPr>
          <w:rFonts w:hint="eastAsia" w:ascii="黑体" w:eastAsia="黑体" w:cs="黑体"/>
          <w:i/>
          <w:color w:val="000000"/>
          <w:sz w:val="32"/>
          <w:szCs w:val="32"/>
          <w:highlight w:val="none"/>
          <w:u w:val="single"/>
          <w:shd w:val="clear" w:color="auto" w:fill="auto"/>
        </w:rPr>
        <w:br w:type="page" w:clear="all"/>
      </w:r>
      <w:r>
        <w:rPr>
          <w:rFonts w:hint="eastAsia" w:ascii="黑体" w:eastAsia="黑体" w:cs="黑体"/>
          <w:i/>
          <w:color w:val="000000"/>
          <w:sz w:val="32"/>
          <w:szCs w:val="32"/>
          <w:highlight w:val="none"/>
          <w:u w:val="single"/>
          <w:shd w:val="clear" w:color="auto" w:fill="auto"/>
        </w:rPr>
        <w:t>一、法人或者其他组织的营业执照等证明文件，自然人的身份证明</w:t>
      </w:r>
    </w:p>
    <w:p w14:paraId="38B7EC4F">
      <w:pPr>
        <w:pStyle w:val="212"/>
        <w:widowControl w:val="0"/>
        <w:spacing w:before="0" w:beforeAutospacing="0" w:after="0" w:afterAutospacing="0"/>
        <w:jc w:val="both"/>
        <w:rPr>
          <w:rFonts w:hint="eastAsia" w:ascii="黑体" w:eastAsia="黑体" w:cs="黑体"/>
          <w:i/>
          <w:color w:val="000000"/>
          <w:sz w:val="32"/>
          <w:szCs w:val="32"/>
          <w:highlight w:val="none"/>
          <w:u w:val="single"/>
          <w:shd w:val="clear" w:color="auto" w:fill="auto"/>
        </w:rPr>
      </w:pPr>
    </w:p>
    <w:p w14:paraId="2915DCD4">
      <w:pPr>
        <w:pStyle w:val="212"/>
        <w:widowControl w:val="0"/>
        <w:spacing w:before="0" w:beforeAutospacing="0" w:after="0" w:afterAutospacing="0" w:line="0" w:lineRule="atLeast"/>
        <w:ind w:firstLine="480"/>
        <w:jc w:val="both"/>
        <w:rPr>
          <w:color w:val="000000"/>
          <w:highlight w:val="none"/>
          <w:shd w:val="clear" w:color="auto" w:fill="auto"/>
        </w:rPr>
      </w:pPr>
      <w:r>
        <w:rPr>
          <w:color w:val="000000"/>
          <w:highlight w:val="none"/>
          <w:shd w:val="clear" w:color="auto" w:fill="auto"/>
        </w:rPr>
        <w:t> </w:t>
      </w:r>
    </w:p>
    <w:p w14:paraId="654D58FE">
      <w:pPr>
        <w:pStyle w:val="212"/>
        <w:widowControl w:val="0"/>
        <w:spacing w:before="0" w:beforeAutospacing="0" w:after="0" w:afterAutospacing="0" w:line="0" w:lineRule="atLeast"/>
        <w:ind w:firstLine="480"/>
        <w:jc w:val="both"/>
        <w:rPr>
          <w:color w:val="000000"/>
          <w:highlight w:val="none"/>
          <w:shd w:val="clear" w:color="auto" w:fill="auto"/>
        </w:rPr>
      </w:pPr>
    </w:p>
    <w:p w14:paraId="6798A8F1">
      <w:pPr>
        <w:pStyle w:val="212"/>
        <w:widowControl w:val="0"/>
        <w:spacing w:before="0" w:beforeAutospacing="0" w:after="0" w:afterAutospacing="0" w:line="0" w:lineRule="atLeast"/>
        <w:ind w:firstLine="480"/>
        <w:jc w:val="both"/>
        <w:rPr>
          <w:color w:val="000000"/>
          <w:highlight w:val="none"/>
          <w:shd w:val="clear" w:color="auto" w:fill="auto"/>
        </w:rPr>
      </w:pPr>
    </w:p>
    <w:p w14:paraId="46DAFFED">
      <w:pPr>
        <w:pStyle w:val="212"/>
        <w:widowControl w:val="0"/>
        <w:spacing w:before="0" w:beforeAutospacing="0" w:after="0" w:afterAutospacing="0" w:line="0" w:lineRule="atLeast"/>
        <w:ind w:firstLine="480"/>
        <w:jc w:val="both"/>
        <w:rPr>
          <w:color w:val="000000"/>
          <w:highlight w:val="none"/>
          <w:shd w:val="clear" w:color="auto" w:fill="auto"/>
        </w:rPr>
      </w:pPr>
    </w:p>
    <w:p w14:paraId="31A5BAC5">
      <w:pPr>
        <w:pStyle w:val="212"/>
        <w:widowControl w:val="0"/>
        <w:spacing w:before="0" w:beforeAutospacing="0" w:after="0" w:afterAutospacing="0" w:line="0" w:lineRule="atLeast"/>
        <w:ind w:firstLine="480"/>
        <w:jc w:val="both"/>
        <w:rPr>
          <w:color w:val="000000"/>
          <w:highlight w:val="none"/>
          <w:shd w:val="clear" w:color="auto" w:fill="auto"/>
        </w:rPr>
      </w:pPr>
    </w:p>
    <w:p w14:paraId="02EE32B6">
      <w:pPr>
        <w:pStyle w:val="212"/>
        <w:numPr>
          <w:ilvl w:val="0"/>
          <w:numId w:val="0"/>
        </w:numPr>
        <w:spacing w:beforeAutospacing="0" w:afterAutospacing="0"/>
        <w:ind w:left="0" w:firstLine="0"/>
        <w:jc w:val="both"/>
        <w:rPr>
          <w:rFonts w:hint="eastAsia" w:ascii="黑体" w:hAnsi="宋体" w:eastAsia="黑体" w:cs="黑体"/>
          <w:i/>
          <w:color w:val="000000"/>
          <w:sz w:val="32"/>
          <w:szCs w:val="32"/>
          <w:u w:val="single"/>
        </w:rPr>
      </w:pPr>
      <w:r>
        <w:rPr>
          <w:rFonts w:hint="eastAsia" w:ascii="黑体" w:hAnsi="宋体" w:eastAsia="黑体" w:cs="黑体"/>
          <w:i/>
          <w:color w:val="000000"/>
          <w:sz w:val="32"/>
          <w:szCs w:val="32"/>
          <w:u w:val="single"/>
          <w:lang w:val="en-US" w:eastAsia="zh-CN" w:bidi="ar-SA"/>
        </w:rPr>
        <w:t>二、</w:t>
      </w:r>
      <w:r>
        <w:rPr>
          <w:rFonts w:hint="eastAsia" w:ascii="黑体" w:hAnsi="宋体" w:eastAsia="黑体" w:cs="黑体"/>
          <w:i/>
          <w:color w:val="000000"/>
          <w:sz w:val="32"/>
          <w:szCs w:val="32"/>
          <w:u w:val="single"/>
        </w:rPr>
        <w:t>上一年度（</w:t>
      </w:r>
      <w:r>
        <w:rPr>
          <w:rFonts w:hint="eastAsia" w:ascii="黑体" w:eastAsia="黑体" w:cs="黑体"/>
          <w:i/>
          <w:color w:val="000000"/>
          <w:sz w:val="32"/>
          <w:szCs w:val="32"/>
          <w:u w:val="single"/>
          <w:lang w:eastAsia="zh-CN"/>
        </w:rPr>
        <w:t>2024年度</w:t>
      </w:r>
      <w:r>
        <w:rPr>
          <w:rFonts w:hint="eastAsia" w:ascii="黑体" w:hAnsi="宋体" w:eastAsia="黑体" w:cs="黑体"/>
          <w:i/>
          <w:color w:val="000000"/>
          <w:sz w:val="32"/>
          <w:szCs w:val="32"/>
          <w:u w:val="single"/>
        </w:rPr>
        <w:t>）的财务状况报表</w:t>
      </w:r>
    </w:p>
    <w:p w14:paraId="438CB1CE">
      <w:pPr>
        <w:pStyle w:val="212"/>
        <w:widowControl w:val="0"/>
        <w:numPr>
          <w:ilvl w:val="0"/>
          <w:numId w:val="0"/>
        </w:numPr>
        <w:spacing w:beforeAutospacing="0" w:afterAutospacing="0"/>
        <w:jc w:val="both"/>
        <w:rPr>
          <w:rFonts w:hint="eastAsia" w:ascii="黑体" w:hAnsi="宋体" w:eastAsia="黑体" w:cs="黑体"/>
          <w:i/>
          <w:color w:val="000000"/>
          <w:sz w:val="32"/>
          <w:szCs w:val="32"/>
          <w:u w:val="single"/>
        </w:rPr>
      </w:pPr>
    </w:p>
    <w:p w14:paraId="51865726">
      <w:pPr>
        <w:pStyle w:val="212"/>
        <w:spacing w:beforeAutospacing="0" w:afterAutospacing="0" w:line="0" w:lineRule="atLeast"/>
        <w:ind w:firstLine="480"/>
        <w:jc w:val="both"/>
        <w:rPr>
          <w:rFonts w:hint="eastAsia" w:ascii="宋体" w:hAnsi="宋体" w:eastAsia="宋体" w:cs="宋体"/>
          <w:color w:val="000000"/>
        </w:rPr>
      </w:pPr>
      <w:r>
        <w:rPr>
          <w:rFonts w:hint="eastAsia" w:ascii="宋体" w:hAnsi="宋体" w:eastAsia="宋体" w:cs="宋体"/>
          <w:color w:val="000000"/>
        </w:rPr>
        <w:t>至少包括资产负债表、利润表。投标人成立不满一年不需提供</w:t>
      </w:r>
    </w:p>
    <w:p w14:paraId="058E4E81">
      <w:pPr>
        <w:pStyle w:val="212"/>
        <w:spacing w:beforeAutospacing="0" w:afterAutospacing="0" w:line="0" w:lineRule="atLeast"/>
        <w:ind w:firstLine="480"/>
        <w:jc w:val="both"/>
        <w:rPr>
          <w:rFonts w:hint="eastAsia" w:ascii="宋体" w:hAnsi="宋体" w:eastAsia="宋体" w:cs="宋体"/>
          <w:color w:val="000000"/>
        </w:rPr>
      </w:pPr>
    </w:p>
    <w:p w14:paraId="2CD704EC">
      <w:pPr>
        <w:pStyle w:val="212"/>
        <w:spacing w:beforeAutospacing="0" w:afterAutospacing="0" w:line="0" w:lineRule="atLeast"/>
        <w:ind w:firstLine="480"/>
        <w:jc w:val="both"/>
        <w:rPr>
          <w:rFonts w:hint="eastAsia" w:ascii="宋体" w:hAnsi="宋体" w:eastAsia="宋体" w:cs="宋体"/>
          <w:color w:val="000000"/>
        </w:rPr>
      </w:pPr>
    </w:p>
    <w:p w14:paraId="4309C061">
      <w:pPr>
        <w:pStyle w:val="212"/>
        <w:spacing w:beforeAutospacing="0" w:afterAutospacing="0" w:line="0" w:lineRule="atLeast"/>
        <w:ind w:firstLine="480"/>
        <w:jc w:val="both"/>
        <w:rPr>
          <w:rFonts w:hint="eastAsia" w:ascii="宋体" w:hAnsi="宋体" w:eastAsia="宋体" w:cs="宋体"/>
          <w:color w:val="000000"/>
        </w:rPr>
      </w:pPr>
    </w:p>
    <w:p w14:paraId="0716DEA3">
      <w:pPr>
        <w:pStyle w:val="212"/>
        <w:spacing w:beforeAutospacing="0" w:afterAutospacing="0" w:line="0" w:lineRule="atLeast"/>
        <w:ind w:firstLine="480"/>
        <w:jc w:val="both"/>
        <w:rPr>
          <w:rFonts w:hint="eastAsia" w:ascii="宋体" w:hAnsi="宋体" w:eastAsia="宋体" w:cs="宋体"/>
          <w:color w:val="000000"/>
        </w:rPr>
      </w:pPr>
    </w:p>
    <w:p w14:paraId="24FF9BA8">
      <w:pPr>
        <w:pStyle w:val="212"/>
        <w:widowControl w:val="0"/>
        <w:spacing w:before="0" w:beforeAutospacing="0" w:after="0" w:afterAutospacing="0"/>
        <w:jc w:val="both"/>
        <w:rPr>
          <w:color w:val="000000"/>
          <w:highlight w:val="none"/>
          <w:shd w:val="clear" w:color="auto" w:fill="auto"/>
        </w:rPr>
      </w:pPr>
      <w:r>
        <w:rPr>
          <w:rFonts w:hint="eastAsia" w:ascii="黑体" w:eastAsia="黑体" w:cs="黑体"/>
          <w:i/>
          <w:color w:val="000000"/>
          <w:sz w:val="32"/>
          <w:szCs w:val="32"/>
          <w:highlight w:val="none"/>
          <w:u w:val="single"/>
          <w:shd w:val="clear" w:color="auto" w:fill="auto"/>
          <w:lang w:val="en-US" w:eastAsia="zh-CN"/>
        </w:rPr>
        <w:t>三</w:t>
      </w:r>
      <w:r>
        <w:rPr>
          <w:rFonts w:hint="eastAsia" w:ascii="黑体" w:eastAsia="黑体" w:cs="黑体"/>
          <w:i/>
          <w:color w:val="000000"/>
          <w:sz w:val="32"/>
          <w:szCs w:val="32"/>
          <w:highlight w:val="none"/>
          <w:u w:val="single"/>
          <w:shd w:val="clear" w:color="auto" w:fill="auto"/>
        </w:rPr>
        <w:t>、具备履行合同所必需的设备和专业技术能力的书面声明</w:t>
      </w:r>
    </w:p>
    <w:p w14:paraId="240B9FFE">
      <w:pPr>
        <w:pStyle w:val="212"/>
        <w:widowControl w:val="0"/>
        <w:spacing w:before="0" w:beforeAutospacing="0" w:after="0" w:afterAutospacing="0" w:line="0" w:lineRule="atLeast"/>
        <w:ind w:firstLine="492"/>
        <w:jc w:val="both"/>
        <w:rPr>
          <w:color w:val="000000"/>
          <w:highlight w:val="none"/>
          <w:shd w:val="clear" w:color="auto" w:fill="auto"/>
        </w:rPr>
      </w:pPr>
      <w:r>
        <w:rPr>
          <w:rFonts w:hint="eastAsia"/>
          <w:color w:val="000000"/>
          <w:highlight w:val="none"/>
          <w:shd w:val="clear" w:color="auto" w:fill="auto"/>
        </w:rPr>
        <w:t>我单位郑重声明：我单位具备履行本项采购合同所必需的设备和专业技术能力，为履行本项采购合同我公司具备如下主要设备和主要专业技术能力：</w:t>
      </w:r>
    </w:p>
    <w:p w14:paraId="0123A3D1">
      <w:pPr>
        <w:pStyle w:val="212"/>
        <w:widowControl w:val="0"/>
        <w:spacing w:before="0" w:beforeAutospacing="0" w:after="0" w:afterAutospacing="0" w:line="0" w:lineRule="atLeast"/>
        <w:ind w:firstLine="492"/>
        <w:jc w:val="both"/>
        <w:rPr>
          <w:color w:val="000000"/>
          <w:highlight w:val="none"/>
          <w:shd w:val="clear" w:color="auto" w:fill="auto"/>
        </w:rPr>
      </w:pPr>
      <w:r>
        <w:rPr>
          <w:rFonts w:hint="eastAsia"/>
          <w:color w:val="000000"/>
          <w:highlight w:val="none"/>
          <w:shd w:val="clear" w:color="auto" w:fill="auto"/>
        </w:rPr>
        <w:t>主要设备有：</w:t>
      </w:r>
      <w:r>
        <w:rPr>
          <w:rFonts w:hint="eastAsia"/>
          <w:color w:val="000000"/>
          <w:highlight w:val="none"/>
          <w:u w:val="single"/>
          <w:shd w:val="clear" w:color="auto" w:fill="auto"/>
        </w:rPr>
        <w:t xml:space="preserve">  </w:t>
      </w:r>
      <w:r>
        <w:rPr>
          <w:rFonts w:hint="eastAsia"/>
          <w:color w:val="000000"/>
          <w:highlight w:val="none"/>
          <w:shd w:val="clear" w:color="auto" w:fill="auto"/>
        </w:rPr>
        <w:t>。</w:t>
      </w:r>
    </w:p>
    <w:p w14:paraId="0FECDF22">
      <w:pPr>
        <w:pStyle w:val="212"/>
        <w:widowControl w:val="0"/>
        <w:spacing w:before="0" w:beforeAutospacing="0" w:after="0" w:afterAutospacing="0"/>
        <w:jc w:val="both"/>
        <w:rPr>
          <w:rFonts w:hint="eastAsia"/>
          <w:color w:val="000000"/>
          <w:highlight w:val="none"/>
          <w:shd w:val="clear" w:color="auto" w:fill="auto"/>
        </w:rPr>
      </w:pPr>
      <w:r>
        <w:rPr>
          <w:rFonts w:hint="eastAsia"/>
          <w:color w:val="000000"/>
          <w:highlight w:val="none"/>
          <w:shd w:val="clear" w:color="auto" w:fill="auto"/>
        </w:rPr>
        <w:t>主要专业技术能力有：</w:t>
      </w:r>
      <w:r>
        <w:rPr>
          <w:rFonts w:hint="eastAsia"/>
          <w:color w:val="000000"/>
          <w:highlight w:val="none"/>
          <w:u w:val="single"/>
          <w:shd w:val="clear" w:color="auto" w:fill="auto"/>
        </w:rPr>
        <w:t xml:space="preserve">   </w:t>
      </w:r>
      <w:r>
        <w:rPr>
          <w:rFonts w:hint="eastAsia"/>
          <w:color w:val="000000"/>
          <w:highlight w:val="none"/>
          <w:shd w:val="clear" w:color="auto" w:fill="auto"/>
        </w:rPr>
        <w:t>。</w:t>
      </w:r>
    </w:p>
    <w:p w14:paraId="322281A6">
      <w:pPr>
        <w:pStyle w:val="212"/>
        <w:widowControl w:val="0"/>
        <w:spacing w:before="0" w:beforeAutospacing="0" w:after="0" w:afterAutospacing="0"/>
        <w:jc w:val="both"/>
        <w:rPr>
          <w:rFonts w:hint="eastAsia"/>
          <w:color w:val="000000"/>
          <w:highlight w:val="none"/>
          <w:shd w:val="clear" w:color="auto" w:fill="auto"/>
        </w:rPr>
      </w:pPr>
    </w:p>
    <w:p w14:paraId="2EF5AAE2">
      <w:pPr>
        <w:pStyle w:val="212"/>
        <w:spacing w:beforeAutospacing="0" w:afterAutospacing="0" w:line="0" w:lineRule="atLeast"/>
        <w:ind w:right="180" w:firstLine="360"/>
        <w:jc w:val="right"/>
      </w:pPr>
      <w:r>
        <w:rPr>
          <w:rFonts w:hint="eastAsia" w:ascii="宋体" w:hAnsi="宋体" w:eastAsia="宋体" w:cs="宋体"/>
          <w:color w:val="000000"/>
        </w:rPr>
        <w:t>企业名称（加盖CA电子公章）：</w:t>
      </w:r>
    </w:p>
    <w:p w14:paraId="26B960EE">
      <w:pPr>
        <w:pStyle w:val="212"/>
        <w:spacing w:beforeAutospacing="0" w:afterAutospacing="0" w:line="0" w:lineRule="atLeast"/>
        <w:ind w:right="480" w:firstLine="6648"/>
        <w:jc w:val="both"/>
        <w:rPr>
          <w:rFonts w:hint="eastAsia" w:ascii="宋体" w:hAnsi="宋体" w:eastAsia="宋体" w:cs="宋体"/>
          <w:color w:val="000000"/>
        </w:rPr>
      </w:pPr>
      <w:r>
        <w:rPr>
          <w:rFonts w:hint="eastAsia" w:ascii="宋体" w:hAnsi="宋体" w:eastAsia="宋体" w:cs="宋体"/>
          <w:color w:val="000000"/>
        </w:rPr>
        <w:t>日  期：</w:t>
      </w:r>
    </w:p>
    <w:p w14:paraId="43CCCBA6">
      <w:pPr>
        <w:pStyle w:val="212"/>
        <w:spacing w:beforeAutospacing="0" w:afterAutospacing="0" w:line="0" w:lineRule="atLeast"/>
        <w:ind w:right="480" w:firstLine="6648"/>
        <w:jc w:val="both"/>
        <w:rPr>
          <w:rFonts w:hint="eastAsia" w:ascii="宋体" w:hAnsi="宋体" w:eastAsia="宋体" w:cs="宋体"/>
          <w:color w:val="000000"/>
        </w:rPr>
      </w:pPr>
    </w:p>
    <w:p w14:paraId="4B92510D">
      <w:pPr>
        <w:pStyle w:val="212"/>
        <w:spacing w:beforeAutospacing="0" w:afterAutospacing="0" w:line="0" w:lineRule="atLeast"/>
        <w:ind w:right="480" w:firstLine="6648"/>
        <w:jc w:val="both"/>
        <w:rPr>
          <w:rFonts w:hint="eastAsia" w:ascii="宋体" w:hAnsi="宋体" w:eastAsia="宋体" w:cs="宋体"/>
          <w:color w:val="000000"/>
        </w:rPr>
      </w:pPr>
    </w:p>
    <w:p w14:paraId="16FEDC56">
      <w:pPr>
        <w:pStyle w:val="212"/>
        <w:spacing w:beforeAutospacing="0" w:afterAutospacing="0" w:line="0" w:lineRule="atLeast"/>
        <w:ind w:right="480" w:firstLine="6648"/>
        <w:jc w:val="both"/>
        <w:rPr>
          <w:rFonts w:hint="eastAsia" w:ascii="宋体" w:hAnsi="宋体" w:eastAsia="宋体" w:cs="宋体"/>
          <w:color w:val="000000"/>
        </w:rPr>
      </w:pPr>
    </w:p>
    <w:p w14:paraId="7B2DCA7E">
      <w:pPr>
        <w:pStyle w:val="212"/>
        <w:spacing w:beforeAutospacing="0" w:afterAutospacing="0" w:line="0" w:lineRule="atLeast"/>
        <w:ind w:right="480" w:firstLine="6648"/>
        <w:jc w:val="both"/>
        <w:rPr>
          <w:rFonts w:hint="eastAsia" w:ascii="宋体" w:hAnsi="宋体" w:eastAsia="宋体" w:cs="宋体"/>
          <w:color w:val="000000"/>
        </w:rPr>
      </w:pPr>
    </w:p>
    <w:p w14:paraId="61FB53E5">
      <w:pPr>
        <w:pStyle w:val="212"/>
        <w:spacing w:beforeAutospacing="0" w:afterAutospacing="0" w:line="0" w:lineRule="atLeast"/>
        <w:ind w:right="480" w:firstLine="6648"/>
        <w:jc w:val="both"/>
        <w:rPr>
          <w:rFonts w:hint="eastAsia" w:ascii="宋体" w:hAnsi="宋体" w:eastAsia="宋体" w:cs="宋体"/>
          <w:color w:val="000000"/>
        </w:rPr>
      </w:pPr>
    </w:p>
    <w:p w14:paraId="78FB1514">
      <w:pPr>
        <w:pStyle w:val="212"/>
        <w:widowControl w:val="0"/>
        <w:spacing w:before="0" w:beforeAutospacing="0" w:after="0" w:afterAutospacing="0"/>
        <w:jc w:val="both"/>
        <w:rPr>
          <w:rFonts w:hint="eastAsia"/>
          <w:color w:val="000000"/>
          <w:highlight w:val="none"/>
          <w:shd w:val="clear" w:color="auto" w:fill="auto"/>
        </w:rPr>
      </w:pPr>
    </w:p>
    <w:p w14:paraId="287777AA">
      <w:pPr>
        <w:pStyle w:val="212"/>
        <w:widowControl w:val="0"/>
        <w:spacing w:before="0" w:beforeAutospacing="0" w:after="0" w:afterAutospacing="0"/>
        <w:jc w:val="both"/>
        <w:rPr>
          <w:color w:val="000000"/>
          <w:highlight w:val="none"/>
          <w:shd w:val="clear" w:color="auto" w:fill="auto"/>
        </w:rPr>
      </w:pPr>
      <w:r>
        <w:rPr>
          <w:rFonts w:hint="eastAsia" w:ascii="黑体" w:eastAsia="黑体" w:cs="黑体"/>
          <w:i/>
          <w:color w:val="000000"/>
          <w:sz w:val="32"/>
          <w:szCs w:val="32"/>
          <w:highlight w:val="none"/>
          <w:u w:val="single"/>
          <w:shd w:val="clear" w:color="auto" w:fill="auto"/>
          <w:lang w:val="en-US" w:eastAsia="zh-CN"/>
        </w:rPr>
        <w:t>四</w:t>
      </w:r>
      <w:r>
        <w:rPr>
          <w:rFonts w:hint="eastAsia" w:ascii="黑体" w:eastAsia="黑体" w:cs="黑体"/>
          <w:i/>
          <w:color w:val="000000"/>
          <w:sz w:val="32"/>
          <w:szCs w:val="32"/>
          <w:highlight w:val="none"/>
          <w:u w:val="single"/>
          <w:shd w:val="clear" w:color="auto" w:fill="auto"/>
        </w:rPr>
        <w:t>、依法缴纳税收和社会保障资金的相关材料</w:t>
      </w:r>
    </w:p>
    <w:p w14:paraId="6451C7DE">
      <w:pPr>
        <w:pStyle w:val="212"/>
        <w:widowControl w:val="0"/>
        <w:spacing w:before="0" w:beforeAutospacing="0" w:after="0" w:afterAutospacing="0"/>
        <w:ind w:firstLine="480"/>
        <w:jc w:val="both"/>
        <w:rPr>
          <w:rFonts w:hint="eastAsia"/>
          <w:color w:val="000000"/>
          <w:highlight w:val="none"/>
          <w:shd w:val="clear" w:color="auto" w:fill="auto"/>
        </w:rPr>
      </w:pPr>
      <w:r>
        <w:rPr>
          <w:rFonts w:hint="eastAsia"/>
          <w:color w:val="000000"/>
          <w:highlight w:val="none"/>
          <w:shd w:val="clear" w:color="auto" w:fill="auto"/>
        </w:rPr>
        <w:t>提供提交响应文件截止时间前一年内至少一个月依法缴纳税收及缴纳社会保障资金的证明材料。供应商依法享受缓缴、免缴税收、社会保障资金的提供证明材料。</w:t>
      </w:r>
    </w:p>
    <w:p w14:paraId="5173ACAB">
      <w:pPr>
        <w:pStyle w:val="212"/>
        <w:widowControl w:val="0"/>
        <w:spacing w:before="0" w:beforeAutospacing="0" w:after="0" w:afterAutospacing="0"/>
        <w:ind w:firstLine="480"/>
        <w:jc w:val="both"/>
        <w:rPr>
          <w:rFonts w:hint="eastAsia"/>
          <w:color w:val="000000"/>
          <w:highlight w:val="none"/>
          <w:shd w:val="clear" w:color="auto" w:fill="auto"/>
        </w:rPr>
      </w:pPr>
    </w:p>
    <w:p w14:paraId="176DE457">
      <w:pPr>
        <w:pStyle w:val="212"/>
        <w:widowControl w:val="0"/>
        <w:spacing w:before="0" w:beforeAutospacing="0" w:after="0" w:afterAutospacing="0"/>
        <w:ind w:firstLine="480"/>
        <w:jc w:val="both"/>
        <w:rPr>
          <w:rFonts w:hint="eastAsia"/>
          <w:color w:val="000000"/>
          <w:highlight w:val="none"/>
          <w:shd w:val="clear" w:color="auto" w:fill="auto"/>
        </w:rPr>
      </w:pPr>
    </w:p>
    <w:p w14:paraId="6928EF7F">
      <w:pPr>
        <w:pStyle w:val="212"/>
        <w:widowControl w:val="0"/>
        <w:spacing w:before="0" w:beforeAutospacing="0" w:after="0" w:afterAutospacing="0"/>
        <w:ind w:firstLine="480"/>
        <w:jc w:val="both"/>
        <w:rPr>
          <w:rFonts w:hint="eastAsia"/>
          <w:color w:val="000000"/>
          <w:highlight w:val="none"/>
          <w:shd w:val="clear" w:color="auto" w:fill="auto"/>
        </w:rPr>
      </w:pPr>
    </w:p>
    <w:p w14:paraId="3D36A843">
      <w:pPr>
        <w:pStyle w:val="212"/>
        <w:widowControl w:val="0"/>
        <w:spacing w:before="0" w:beforeAutospacing="0" w:after="0" w:afterAutospacing="0"/>
        <w:ind w:firstLine="480"/>
        <w:jc w:val="both"/>
        <w:rPr>
          <w:rFonts w:hint="eastAsia"/>
          <w:color w:val="000000"/>
          <w:highlight w:val="none"/>
          <w:shd w:val="clear" w:color="auto" w:fill="auto"/>
        </w:rPr>
      </w:pPr>
    </w:p>
    <w:p w14:paraId="33DF0EE3">
      <w:pPr>
        <w:pStyle w:val="212"/>
        <w:widowControl w:val="0"/>
        <w:spacing w:before="0" w:beforeAutospacing="0" w:after="0" w:afterAutospacing="0"/>
        <w:ind w:firstLine="480"/>
        <w:jc w:val="both"/>
        <w:rPr>
          <w:rFonts w:hint="eastAsia"/>
          <w:color w:val="000000"/>
          <w:highlight w:val="none"/>
          <w:shd w:val="clear" w:color="auto" w:fill="auto"/>
        </w:rPr>
      </w:pPr>
    </w:p>
    <w:p w14:paraId="348412D3">
      <w:pPr>
        <w:pStyle w:val="212"/>
        <w:widowControl w:val="0"/>
        <w:spacing w:before="0" w:beforeAutospacing="0" w:after="0" w:afterAutospacing="0"/>
        <w:ind w:firstLine="480"/>
        <w:jc w:val="both"/>
        <w:rPr>
          <w:rFonts w:hint="eastAsia"/>
          <w:color w:val="000000"/>
          <w:highlight w:val="none"/>
          <w:shd w:val="clear" w:color="auto" w:fill="auto"/>
        </w:rPr>
      </w:pPr>
    </w:p>
    <w:p w14:paraId="3475E7E4">
      <w:pPr>
        <w:pStyle w:val="212"/>
        <w:widowControl w:val="0"/>
        <w:spacing w:before="0" w:beforeAutospacing="0" w:after="0" w:afterAutospacing="0"/>
        <w:ind w:firstLine="480"/>
        <w:jc w:val="both"/>
        <w:rPr>
          <w:rFonts w:hint="eastAsia"/>
          <w:color w:val="000000"/>
          <w:highlight w:val="none"/>
          <w:shd w:val="clear" w:color="auto" w:fill="auto"/>
        </w:rPr>
      </w:pPr>
    </w:p>
    <w:p w14:paraId="70E89559">
      <w:pPr>
        <w:pStyle w:val="212"/>
        <w:widowControl w:val="0"/>
        <w:spacing w:before="0" w:beforeAutospacing="0" w:after="0" w:afterAutospacing="0"/>
        <w:jc w:val="both"/>
        <w:rPr>
          <w:color w:val="000000"/>
          <w:highlight w:val="none"/>
          <w:shd w:val="clear" w:color="auto" w:fill="auto"/>
        </w:rPr>
      </w:pPr>
      <w:r>
        <w:rPr>
          <w:color w:val="000000"/>
          <w:highlight w:val="none"/>
          <w:shd w:val="clear" w:color="auto" w:fill="auto"/>
        </w:rPr>
        <w:t> </w:t>
      </w:r>
    </w:p>
    <w:p w14:paraId="5B1FA807">
      <w:pPr>
        <w:pStyle w:val="212"/>
        <w:widowControl w:val="0"/>
        <w:spacing w:before="0" w:beforeAutospacing="0" w:after="0" w:afterAutospacing="0" w:line="0" w:lineRule="atLeast"/>
        <w:ind w:firstLine="492"/>
        <w:jc w:val="both"/>
        <w:rPr>
          <w:color w:val="000000"/>
          <w:highlight w:val="none"/>
          <w:shd w:val="clear" w:color="auto" w:fill="auto"/>
        </w:rPr>
      </w:pPr>
    </w:p>
    <w:p w14:paraId="3E820B62">
      <w:pPr>
        <w:pStyle w:val="212"/>
        <w:widowControl w:val="0"/>
        <w:spacing w:before="0" w:beforeAutospacing="0" w:after="0" w:afterAutospacing="0"/>
        <w:jc w:val="both"/>
        <w:rPr>
          <w:color w:val="000000"/>
          <w:highlight w:val="none"/>
          <w:shd w:val="clear" w:color="auto" w:fill="auto"/>
        </w:rPr>
      </w:pPr>
      <w:r>
        <w:rPr>
          <w:rFonts w:hint="eastAsia" w:ascii="黑体" w:eastAsia="黑体" w:cs="黑体"/>
          <w:i/>
          <w:color w:val="000000"/>
          <w:sz w:val="32"/>
          <w:szCs w:val="32"/>
          <w:highlight w:val="none"/>
          <w:u w:val="single"/>
          <w:shd w:val="clear" w:color="auto" w:fill="auto"/>
        </w:rPr>
        <w:t>五、参加政府采购活动前 3 年内在经营活动中没有重大违法记录的书面声明</w:t>
      </w:r>
    </w:p>
    <w:p w14:paraId="28A04C81">
      <w:pPr>
        <w:pStyle w:val="212"/>
        <w:widowControl w:val="0"/>
        <w:spacing w:before="0" w:beforeAutospacing="0" w:after="0" w:afterAutospacing="0" w:line="0" w:lineRule="atLeast"/>
        <w:jc w:val="both"/>
        <w:rPr>
          <w:color w:val="000000"/>
          <w:highlight w:val="none"/>
          <w:shd w:val="clear" w:color="auto" w:fill="auto"/>
        </w:rPr>
      </w:pPr>
      <w:r>
        <w:rPr>
          <w:rFonts w:hint="eastAsia"/>
          <w:b/>
          <w:color w:val="000000"/>
          <w:sz w:val="44"/>
          <w:szCs w:val="44"/>
          <w:highlight w:val="none"/>
          <w:shd w:val="clear" w:color="auto" w:fill="auto"/>
        </w:rPr>
        <w:t>       声  明</w:t>
      </w:r>
    </w:p>
    <w:p w14:paraId="0B904856">
      <w:pPr>
        <w:pStyle w:val="212"/>
        <w:widowControl w:val="0"/>
        <w:spacing w:before="0" w:beforeAutospacing="0" w:after="0" w:afterAutospacing="0" w:line="0" w:lineRule="atLeast"/>
        <w:jc w:val="both"/>
        <w:rPr>
          <w:color w:val="000000"/>
          <w:highlight w:val="none"/>
          <w:shd w:val="clear" w:color="auto" w:fill="auto"/>
        </w:rPr>
      </w:pPr>
      <w:r>
        <w:rPr>
          <w:rFonts w:hint="eastAsia"/>
          <w:b/>
          <w:color w:val="000000"/>
          <w:highlight w:val="none"/>
          <w:shd w:val="clear" w:color="auto" w:fill="auto"/>
        </w:rPr>
        <w:t xml:space="preserve">    </w:t>
      </w:r>
      <w:r>
        <w:rPr>
          <w:rFonts w:hint="eastAsia"/>
          <w:color w:val="000000"/>
          <w:highlight w:val="none"/>
          <w:shd w:val="clear" w:color="auto" w:fill="auto"/>
        </w:rPr>
        <w:t>我单位郑重声明：参加本次政府采购活动前 3 年内，我单位在经营活动中没有因违法经营受到刑事处罚或者责令停产停业、吊销许可证或者执照、较大数额罚款等行政处罚。</w:t>
      </w:r>
    </w:p>
    <w:p w14:paraId="35DB1E39">
      <w:pPr>
        <w:pStyle w:val="212"/>
        <w:widowControl w:val="0"/>
        <w:spacing w:before="0" w:beforeAutospacing="0" w:after="0" w:afterAutospacing="0"/>
        <w:jc w:val="both"/>
        <w:rPr>
          <w:color w:val="000000"/>
          <w:highlight w:val="none"/>
          <w:shd w:val="clear" w:color="auto" w:fill="auto"/>
        </w:rPr>
      </w:pPr>
      <w:r>
        <w:rPr>
          <w:color w:val="000000"/>
          <w:highlight w:val="none"/>
          <w:shd w:val="clear" w:color="auto" w:fill="auto"/>
        </w:rPr>
        <w:t> </w:t>
      </w:r>
    </w:p>
    <w:p w14:paraId="6B24E1D9">
      <w:pPr>
        <w:pStyle w:val="212"/>
        <w:spacing w:beforeAutospacing="0" w:afterAutospacing="0" w:line="0" w:lineRule="atLeast"/>
        <w:ind w:right="180" w:firstLine="360"/>
        <w:jc w:val="right"/>
      </w:pPr>
      <w:r>
        <w:t> </w:t>
      </w:r>
      <w:r>
        <w:rPr>
          <w:rFonts w:hint="eastAsia" w:ascii="宋体" w:hAnsi="宋体" w:eastAsia="宋体" w:cs="宋体"/>
          <w:color w:val="000000"/>
        </w:rPr>
        <w:t>企业名称（加盖CA电子公章）：</w:t>
      </w:r>
    </w:p>
    <w:p w14:paraId="1F2B8C0C">
      <w:pPr>
        <w:pStyle w:val="212"/>
        <w:spacing w:beforeAutospacing="0" w:afterAutospacing="0" w:line="0" w:lineRule="atLeast"/>
        <w:ind w:right="480" w:firstLine="6410"/>
        <w:jc w:val="both"/>
        <w:rPr>
          <w:rFonts w:hint="eastAsia" w:ascii="宋体" w:hAnsi="宋体" w:eastAsia="宋体" w:cs="宋体"/>
          <w:color w:val="000000"/>
        </w:rPr>
      </w:pPr>
      <w:r>
        <w:rPr>
          <w:rFonts w:hint="eastAsia" w:ascii="宋体" w:hAnsi="宋体" w:eastAsia="宋体" w:cs="宋体"/>
          <w:color w:val="000000"/>
        </w:rPr>
        <w:t>日  期：</w:t>
      </w:r>
    </w:p>
    <w:p w14:paraId="709CEBF6">
      <w:pPr>
        <w:pStyle w:val="212"/>
        <w:spacing w:beforeAutospacing="0" w:afterAutospacing="0" w:line="0" w:lineRule="atLeast"/>
        <w:ind w:right="480" w:firstLine="6410"/>
        <w:jc w:val="both"/>
        <w:rPr>
          <w:rFonts w:hint="eastAsia" w:ascii="宋体" w:hAnsi="宋体" w:eastAsia="宋体" w:cs="宋体"/>
          <w:color w:val="000000"/>
        </w:rPr>
      </w:pPr>
    </w:p>
    <w:p w14:paraId="12C1E715">
      <w:pPr>
        <w:pStyle w:val="212"/>
        <w:spacing w:beforeAutospacing="0" w:afterAutospacing="0" w:line="0" w:lineRule="atLeast"/>
        <w:ind w:right="480" w:firstLine="6410"/>
        <w:jc w:val="both"/>
        <w:rPr>
          <w:rFonts w:hint="eastAsia" w:ascii="宋体" w:hAnsi="宋体" w:eastAsia="宋体" w:cs="宋体"/>
          <w:color w:val="000000"/>
        </w:rPr>
      </w:pPr>
    </w:p>
    <w:p w14:paraId="58A66C26">
      <w:pPr>
        <w:pStyle w:val="212"/>
        <w:spacing w:beforeAutospacing="0" w:afterAutospacing="0" w:line="0" w:lineRule="atLeast"/>
        <w:ind w:right="480" w:firstLine="6410"/>
        <w:jc w:val="both"/>
        <w:rPr>
          <w:rFonts w:hint="eastAsia" w:ascii="宋体" w:hAnsi="宋体" w:eastAsia="宋体" w:cs="宋体"/>
          <w:color w:val="000000"/>
        </w:rPr>
      </w:pPr>
    </w:p>
    <w:p w14:paraId="02BED0C0">
      <w:pPr>
        <w:pStyle w:val="212"/>
        <w:spacing w:beforeAutospacing="0" w:afterAutospacing="0" w:line="0" w:lineRule="atLeast"/>
        <w:ind w:right="480" w:firstLine="6410"/>
        <w:jc w:val="both"/>
        <w:rPr>
          <w:rFonts w:hint="eastAsia" w:ascii="宋体" w:hAnsi="宋体" w:eastAsia="宋体" w:cs="宋体"/>
          <w:color w:val="000000"/>
        </w:rPr>
      </w:pPr>
    </w:p>
    <w:p w14:paraId="08F4DA3D">
      <w:pPr>
        <w:pStyle w:val="212"/>
        <w:spacing w:beforeAutospacing="0" w:afterAutospacing="0" w:line="0" w:lineRule="atLeast"/>
        <w:ind w:right="480" w:firstLine="6410"/>
        <w:jc w:val="both"/>
        <w:rPr>
          <w:rFonts w:hint="eastAsia" w:ascii="宋体" w:hAnsi="宋体" w:eastAsia="宋体" w:cs="宋体"/>
          <w:color w:val="000000"/>
        </w:rPr>
      </w:pPr>
    </w:p>
    <w:p w14:paraId="129FC197">
      <w:pPr>
        <w:pStyle w:val="212"/>
        <w:widowControl w:val="0"/>
        <w:spacing w:before="0" w:beforeAutospacing="0" w:after="0" w:afterAutospacing="0"/>
        <w:jc w:val="both"/>
        <w:rPr>
          <w:color w:val="000000"/>
          <w:highlight w:val="none"/>
          <w:shd w:val="clear" w:color="auto" w:fill="auto"/>
        </w:rPr>
      </w:pPr>
    </w:p>
    <w:p w14:paraId="25BD49F2">
      <w:pPr>
        <w:pStyle w:val="212"/>
        <w:widowControl w:val="0"/>
        <w:spacing w:before="0" w:beforeAutospacing="0" w:after="0" w:afterAutospacing="0"/>
        <w:jc w:val="both"/>
        <w:rPr>
          <w:color w:val="000000"/>
          <w:highlight w:val="none"/>
          <w:shd w:val="clear" w:color="auto" w:fill="auto"/>
        </w:rPr>
      </w:pPr>
      <w:r>
        <w:rPr>
          <w:rFonts w:hint="eastAsia" w:ascii="黑体" w:eastAsia="黑体" w:cs="黑体"/>
          <w:i/>
          <w:color w:val="000000"/>
          <w:sz w:val="32"/>
          <w:szCs w:val="32"/>
          <w:highlight w:val="none"/>
          <w:u w:val="single"/>
          <w:shd w:val="clear" w:color="auto" w:fill="auto"/>
        </w:rPr>
        <w:t>六、特定资格要求的证明文件</w:t>
      </w:r>
    </w:p>
    <w:p w14:paraId="0B95BE8C">
      <w:pPr>
        <w:pStyle w:val="212"/>
        <w:widowControl w:val="0"/>
        <w:spacing w:before="0" w:beforeAutospacing="0" w:after="0" w:afterAutospacing="0" w:line="0" w:lineRule="atLeast"/>
        <w:jc w:val="both"/>
        <w:rPr>
          <w:color w:val="000000"/>
          <w:highlight w:val="none"/>
          <w:shd w:val="clear" w:color="auto" w:fill="auto"/>
        </w:rPr>
      </w:pPr>
      <w:r>
        <w:rPr>
          <w:rFonts w:hint="eastAsia"/>
          <w:color w:val="000000"/>
          <w:highlight w:val="none"/>
          <w:shd w:val="clear" w:color="auto" w:fill="auto"/>
        </w:rPr>
        <w:t>   如果本项目申请人的特定资格要求中要求提供的，必须提供。</w:t>
      </w:r>
    </w:p>
    <w:p w14:paraId="34C24BAC">
      <w:pPr>
        <w:pStyle w:val="212"/>
        <w:widowControl w:val="0"/>
        <w:spacing w:before="0" w:beforeAutospacing="0" w:after="0" w:afterAutospacing="0"/>
        <w:jc w:val="center"/>
        <w:rPr>
          <w:rFonts w:hint="eastAsia" w:ascii="黑体" w:eastAsia="黑体" w:cs="黑体"/>
          <w:i/>
          <w:color w:val="000000"/>
          <w:sz w:val="32"/>
          <w:szCs w:val="32"/>
          <w:highlight w:val="none"/>
          <w:u w:val="single"/>
          <w:shd w:val="clear" w:color="auto" w:fill="auto"/>
        </w:rPr>
      </w:pPr>
      <w:bookmarkStart w:id="149" w:name="_Toc120614284"/>
    </w:p>
    <w:p w14:paraId="0FFA6771">
      <w:pPr>
        <w:pStyle w:val="212"/>
        <w:widowControl w:val="0"/>
        <w:spacing w:before="0" w:beforeAutospacing="0" w:after="0" w:afterAutospacing="0"/>
        <w:jc w:val="center"/>
        <w:rPr>
          <w:rFonts w:hint="eastAsia" w:ascii="黑体" w:eastAsia="黑体" w:cs="黑体"/>
          <w:i/>
          <w:color w:val="000000"/>
          <w:sz w:val="32"/>
          <w:szCs w:val="32"/>
          <w:highlight w:val="none"/>
          <w:u w:val="single"/>
          <w:shd w:val="clear" w:color="auto" w:fill="auto"/>
        </w:rPr>
      </w:pPr>
    </w:p>
    <w:p w14:paraId="786F267C">
      <w:pPr>
        <w:pStyle w:val="212"/>
        <w:widowControl w:val="0"/>
        <w:spacing w:before="0" w:beforeAutospacing="0" w:after="0" w:afterAutospacing="0"/>
        <w:jc w:val="center"/>
        <w:rPr>
          <w:rFonts w:hint="eastAsia" w:ascii="黑体" w:eastAsia="黑体" w:cs="黑体"/>
          <w:i/>
          <w:color w:val="000000"/>
          <w:sz w:val="32"/>
          <w:szCs w:val="32"/>
          <w:highlight w:val="none"/>
          <w:u w:val="single"/>
          <w:shd w:val="clear" w:color="auto" w:fill="auto"/>
        </w:rPr>
      </w:pPr>
    </w:p>
    <w:p w14:paraId="29DD125F">
      <w:pPr>
        <w:pStyle w:val="212"/>
        <w:widowControl w:val="0"/>
        <w:spacing w:before="0" w:beforeAutospacing="0" w:after="0" w:afterAutospacing="0"/>
        <w:jc w:val="center"/>
        <w:rPr>
          <w:rFonts w:hint="eastAsia" w:ascii="黑体" w:eastAsia="黑体" w:cs="黑体"/>
          <w:i/>
          <w:color w:val="000000"/>
          <w:sz w:val="32"/>
          <w:szCs w:val="32"/>
          <w:highlight w:val="none"/>
          <w:u w:val="single"/>
          <w:shd w:val="clear" w:color="auto" w:fill="auto"/>
        </w:rPr>
      </w:pPr>
    </w:p>
    <w:p w14:paraId="392CEF0D">
      <w:pPr>
        <w:pStyle w:val="212"/>
        <w:widowControl w:val="0"/>
        <w:spacing w:before="0" w:beforeAutospacing="0" w:after="0" w:afterAutospacing="0"/>
        <w:jc w:val="center"/>
        <w:rPr>
          <w:rFonts w:hint="eastAsia" w:ascii="黑体" w:eastAsia="黑体" w:cs="黑体"/>
          <w:i/>
          <w:color w:val="000000"/>
          <w:sz w:val="32"/>
          <w:szCs w:val="32"/>
          <w:highlight w:val="none"/>
          <w:u w:val="single"/>
          <w:shd w:val="clear" w:color="auto" w:fill="auto"/>
        </w:rPr>
      </w:pPr>
    </w:p>
    <w:p w14:paraId="7DCC4D0A">
      <w:pPr>
        <w:pStyle w:val="212"/>
        <w:widowControl w:val="0"/>
        <w:spacing w:before="0" w:beforeAutospacing="0" w:after="0" w:afterAutospacing="0"/>
        <w:jc w:val="center"/>
        <w:rPr>
          <w:rFonts w:hint="eastAsia" w:ascii="黑体" w:eastAsia="黑体" w:cs="黑体"/>
          <w:i/>
          <w:color w:val="000000"/>
          <w:sz w:val="32"/>
          <w:szCs w:val="32"/>
          <w:highlight w:val="none"/>
          <w:u w:val="single"/>
          <w:shd w:val="clear" w:color="auto" w:fill="auto"/>
        </w:rPr>
      </w:pPr>
    </w:p>
    <w:p w14:paraId="7A3A443E">
      <w:pPr>
        <w:pStyle w:val="212"/>
        <w:widowControl w:val="0"/>
        <w:spacing w:before="0" w:beforeAutospacing="0" w:after="0" w:afterAutospacing="0"/>
        <w:jc w:val="center"/>
        <w:rPr>
          <w:rFonts w:hint="eastAsia" w:ascii="黑体" w:eastAsia="黑体" w:cs="黑体"/>
          <w:i/>
          <w:color w:val="000000"/>
          <w:sz w:val="32"/>
          <w:szCs w:val="32"/>
          <w:highlight w:val="none"/>
          <w:u w:val="single"/>
          <w:shd w:val="clear" w:color="auto" w:fill="auto"/>
        </w:rPr>
      </w:pPr>
    </w:p>
    <w:p w14:paraId="2048CD25">
      <w:pPr>
        <w:pStyle w:val="212"/>
        <w:widowControl w:val="0"/>
        <w:spacing w:before="0" w:beforeAutospacing="0" w:after="0" w:afterAutospacing="0"/>
        <w:jc w:val="center"/>
        <w:rPr>
          <w:rFonts w:hint="eastAsia" w:ascii="黑体" w:eastAsia="黑体" w:cs="黑体"/>
          <w:i/>
          <w:color w:val="000000"/>
          <w:sz w:val="32"/>
          <w:szCs w:val="32"/>
          <w:highlight w:val="none"/>
          <w:u w:val="single"/>
          <w:shd w:val="clear" w:color="auto" w:fill="auto"/>
        </w:rPr>
      </w:pPr>
    </w:p>
    <w:p w14:paraId="5587F6F7">
      <w:pPr>
        <w:pStyle w:val="212"/>
        <w:widowControl w:val="0"/>
        <w:spacing w:before="0" w:beforeAutospacing="0" w:after="0" w:afterAutospacing="0"/>
        <w:jc w:val="center"/>
        <w:rPr>
          <w:rFonts w:hint="eastAsia" w:ascii="黑体" w:eastAsia="黑体" w:cs="黑体"/>
          <w:i/>
          <w:color w:val="000000"/>
          <w:sz w:val="32"/>
          <w:szCs w:val="32"/>
          <w:highlight w:val="none"/>
          <w:u w:val="single"/>
          <w:shd w:val="clear" w:color="auto" w:fill="auto"/>
        </w:rPr>
      </w:pPr>
    </w:p>
    <w:p w14:paraId="38E53AC5">
      <w:pPr>
        <w:pStyle w:val="212"/>
        <w:widowControl w:val="0"/>
        <w:spacing w:before="0" w:beforeAutospacing="0" w:after="0" w:afterAutospacing="0"/>
        <w:jc w:val="center"/>
        <w:rPr>
          <w:rFonts w:hint="eastAsia" w:ascii="黑体" w:eastAsia="黑体" w:cs="黑体"/>
          <w:i/>
          <w:color w:val="000000"/>
          <w:sz w:val="32"/>
          <w:szCs w:val="32"/>
          <w:highlight w:val="none"/>
          <w:u w:val="single"/>
          <w:shd w:val="clear" w:color="auto" w:fill="auto"/>
        </w:rPr>
      </w:pPr>
    </w:p>
    <w:p w14:paraId="5520B1BF">
      <w:pPr>
        <w:pStyle w:val="212"/>
        <w:widowControl w:val="0"/>
        <w:spacing w:before="0" w:beforeAutospacing="0" w:after="0" w:afterAutospacing="0"/>
        <w:jc w:val="center"/>
        <w:rPr>
          <w:rFonts w:hint="eastAsia" w:ascii="黑体" w:eastAsia="黑体" w:cs="黑体"/>
          <w:i/>
          <w:color w:val="000000"/>
          <w:sz w:val="32"/>
          <w:szCs w:val="32"/>
          <w:highlight w:val="none"/>
          <w:u w:val="single"/>
          <w:shd w:val="clear" w:color="auto" w:fill="auto"/>
        </w:rPr>
      </w:pPr>
    </w:p>
    <w:p w14:paraId="5F647723">
      <w:pPr>
        <w:pStyle w:val="212"/>
        <w:widowControl w:val="0"/>
        <w:spacing w:before="0" w:beforeAutospacing="0" w:after="0" w:afterAutospacing="0"/>
        <w:jc w:val="center"/>
        <w:rPr>
          <w:rFonts w:hint="eastAsia" w:ascii="黑体" w:eastAsia="黑体" w:cs="黑体"/>
          <w:i/>
          <w:color w:val="000000"/>
          <w:sz w:val="32"/>
          <w:szCs w:val="32"/>
          <w:highlight w:val="none"/>
          <w:u w:val="single"/>
          <w:shd w:val="clear" w:color="auto" w:fill="auto"/>
        </w:rPr>
      </w:pPr>
    </w:p>
    <w:p w14:paraId="0374C525">
      <w:pPr>
        <w:pStyle w:val="212"/>
        <w:widowControl w:val="0"/>
        <w:spacing w:before="0" w:beforeAutospacing="0" w:after="0" w:afterAutospacing="0"/>
        <w:jc w:val="center"/>
        <w:rPr>
          <w:rFonts w:hint="eastAsia" w:ascii="黑体" w:eastAsia="黑体" w:cs="黑体"/>
          <w:i/>
          <w:color w:val="000000"/>
          <w:sz w:val="32"/>
          <w:szCs w:val="32"/>
          <w:highlight w:val="none"/>
          <w:u w:val="single"/>
          <w:shd w:val="clear" w:color="auto" w:fill="auto"/>
        </w:rPr>
      </w:pPr>
    </w:p>
    <w:p w14:paraId="6782AE03">
      <w:pPr>
        <w:pStyle w:val="212"/>
        <w:widowControl w:val="0"/>
        <w:spacing w:before="0" w:beforeAutospacing="0" w:after="0" w:afterAutospacing="0"/>
        <w:jc w:val="center"/>
        <w:rPr>
          <w:rFonts w:hint="eastAsia" w:ascii="黑体" w:eastAsia="黑体" w:cs="黑体"/>
          <w:i/>
          <w:color w:val="000000"/>
          <w:sz w:val="32"/>
          <w:szCs w:val="32"/>
          <w:highlight w:val="none"/>
          <w:u w:val="single"/>
          <w:shd w:val="clear" w:color="auto" w:fill="auto"/>
        </w:rPr>
      </w:pPr>
    </w:p>
    <w:p w14:paraId="16F35369">
      <w:pPr>
        <w:pStyle w:val="212"/>
        <w:widowControl w:val="0"/>
        <w:spacing w:before="0" w:beforeAutospacing="0" w:after="0" w:afterAutospacing="0"/>
        <w:jc w:val="center"/>
        <w:rPr>
          <w:rFonts w:hint="eastAsia" w:ascii="黑体" w:eastAsia="黑体" w:cs="黑体"/>
          <w:i/>
          <w:color w:val="000000"/>
          <w:sz w:val="32"/>
          <w:szCs w:val="32"/>
          <w:highlight w:val="none"/>
          <w:u w:val="single"/>
          <w:shd w:val="clear" w:color="auto" w:fill="auto"/>
        </w:rPr>
      </w:pPr>
    </w:p>
    <w:p w14:paraId="7E789A7F">
      <w:pPr>
        <w:pStyle w:val="212"/>
        <w:widowControl w:val="0"/>
        <w:spacing w:before="0" w:beforeAutospacing="0" w:after="0" w:afterAutospacing="0"/>
        <w:jc w:val="center"/>
        <w:rPr>
          <w:rFonts w:hint="eastAsia" w:ascii="黑体" w:eastAsia="黑体" w:cs="黑体"/>
          <w:i/>
          <w:color w:val="000000"/>
          <w:sz w:val="32"/>
          <w:szCs w:val="32"/>
          <w:highlight w:val="none"/>
          <w:u w:val="single"/>
          <w:shd w:val="clear" w:color="auto" w:fill="auto"/>
        </w:rPr>
      </w:pPr>
    </w:p>
    <w:p w14:paraId="2130F6E1">
      <w:pPr>
        <w:pStyle w:val="212"/>
        <w:widowControl w:val="0"/>
        <w:spacing w:before="0" w:beforeAutospacing="0" w:after="0" w:afterAutospacing="0"/>
        <w:jc w:val="center"/>
        <w:rPr>
          <w:rFonts w:hint="eastAsia" w:ascii="黑体" w:eastAsia="黑体" w:cs="黑体"/>
          <w:i/>
          <w:color w:val="000000"/>
          <w:sz w:val="32"/>
          <w:szCs w:val="32"/>
          <w:highlight w:val="none"/>
          <w:u w:val="single"/>
          <w:shd w:val="clear" w:color="auto" w:fill="auto"/>
        </w:rPr>
      </w:pPr>
    </w:p>
    <w:p w14:paraId="3DA2501F">
      <w:pPr>
        <w:pStyle w:val="212"/>
        <w:widowControl w:val="0"/>
        <w:spacing w:before="0" w:beforeAutospacing="0" w:after="0" w:afterAutospacing="0"/>
        <w:jc w:val="center"/>
        <w:rPr>
          <w:color w:val="000000"/>
          <w:highlight w:val="none"/>
          <w:shd w:val="clear" w:color="auto" w:fill="auto"/>
        </w:rPr>
      </w:pPr>
      <w:r>
        <w:rPr>
          <w:rFonts w:hint="eastAsia" w:ascii="黑体" w:eastAsia="黑体" w:cs="黑体"/>
          <w:i/>
          <w:color w:val="000000"/>
          <w:sz w:val="32"/>
          <w:szCs w:val="32"/>
          <w:highlight w:val="none"/>
          <w:u w:val="single"/>
          <w:shd w:val="clear" w:color="auto" w:fill="auto"/>
        </w:rPr>
        <w:t>七、法人授权书</w:t>
      </w:r>
    </w:p>
    <w:p w14:paraId="0D8F8A27">
      <w:pPr>
        <w:pStyle w:val="212"/>
        <w:widowControl w:val="0"/>
        <w:tabs>
          <w:tab w:val="left" w:pos="360"/>
        </w:tabs>
        <w:spacing w:before="0" w:beforeAutospacing="0" w:after="0" w:afterAutospacing="0"/>
        <w:ind w:firstLine="480"/>
        <w:jc w:val="both"/>
        <w:rPr>
          <w:color w:val="000000"/>
          <w:highlight w:val="none"/>
          <w:shd w:val="clear" w:color="auto" w:fill="auto"/>
        </w:rPr>
      </w:pPr>
      <w:r>
        <w:rPr>
          <w:rFonts w:ascii="Times New Roman" w:hAnsi="Times New Roman" w:cs="Times New Roman"/>
          <w:color w:val="000000"/>
          <w:highlight w:val="none"/>
          <w:shd w:val="clear" w:color="auto" w:fill="auto"/>
        </w:rPr>
        <w:t>本授权书声明：____________（供应商名称）授权________________（被授权人的姓名）为我方就</w:t>
      </w:r>
      <w:r>
        <w:rPr>
          <w:rFonts w:hint="eastAsia" w:ascii="Times New Roman" w:hAnsi="Times New Roman" w:cs="Times New Roman"/>
          <w:color w:val="000000"/>
          <w:highlight w:val="none"/>
          <w:shd w:val="clear" w:color="auto" w:fill="auto"/>
          <w:lang w:eastAsia="zh-CN"/>
        </w:rPr>
        <w:t>JSZC-320923-SNST-X2025-0003</w:t>
      </w:r>
      <w:r>
        <w:rPr>
          <w:rFonts w:ascii="Times New Roman" w:hAnsi="Times New Roman" w:cs="Times New Roman"/>
          <w:color w:val="000000"/>
          <w:highlight w:val="none"/>
          <w:shd w:val="clear" w:color="auto" w:fill="auto"/>
        </w:rPr>
        <w:t>号项目采购活动的合法代理人，以本单位名义全权处理一切与该项目采购有关的事务。</w:t>
      </w:r>
    </w:p>
    <w:p w14:paraId="70FA22A5">
      <w:pPr>
        <w:pStyle w:val="212"/>
        <w:widowControl w:val="0"/>
        <w:tabs>
          <w:tab w:val="left" w:pos="360"/>
        </w:tabs>
        <w:spacing w:before="0" w:beforeAutospacing="0" w:after="0" w:afterAutospacing="0"/>
        <w:ind w:firstLine="480"/>
        <w:jc w:val="both"/>
        <w:rPr>
          <w:color w:val="000000"/>
          <w:highlight w:val="none"/>
          <w:shd w:val="clear" w:color="auto" w:fill="auto"/>
        </w:rPr>
      </w:pPr>
      <w:r>
        <w:rPr>
          <w:rFonts w:ascii="Times New Roman" w:hAnsi="Times New Roman" w:cs="Times New Roman"/>
          <w:color w:val="000000"/>
          <w:highlight w:val="none"/>
          <w:shd w:val="clear" w:color="auto" w:fill="auto"/>
        </w:rPr>
        <w:t>本授权书于______年____月____日起生效，特此声明。</w:t>
      </w:r>
    </w:p>
    <w:p w14:paraId="020F20A5">
      <w:pPr>
        <w:pStyle w:val="212"/>
        <w:widowControl w:val="0"/>
        <w:tabs>
          <w:tab w:val="left" w:pos="360"/>
        </w:tabs>
        <w:spacing w:before="0" w:beforeAutospacing="0" w:after="0" w:afterAutospacing="0"/>
        <w:jc w:val="both"/>
        <w:rPr>
          <w:color w:val="000000"/>
          <w:highlight w:val="none"/>
          <w:shd w:val="clear" w:color="auto" w:fill="auto"/>
        </w:rPr>
      </w:pPr>
      <w:r>
        <w:rPr>
          <w:rFonts w:ascii="Times New Roman" w:hAnsi="Times New Roman" w:cs="Times New Roman"/>
          <w:color w:val="000000"/>
          <w:highlight w:val="none"/>
          <w:shd w:val="clear" w:color="auto" w:fill="auto"/>
        </w:rPr>
        <w:t>          被授权人身份证号码：</w:t>
      </w:r>
      <w:r>
        <w:rPr>
          <w:rFonts w:ascii="Times New Roman" w:hAnsi="Times New Roman" w:cs="Times New Roman"/>
          <w:color w:val="000000"/>
          <w:highlight w:val="none"/>
          <w:u w:val="single"/>
          <w:shd w:val="clear" w:color="auto" w:fill="auto"/>
        </w:rPr>
        <w:t xml:space="preserve">                              </w:t>
      </w:r>
    </w:p>
    <w:p w14:paraId="35D4D92D">
      <w:pPr>
        <w:pStyle w:val="212"/>
        <w:widowControl w:val="0"/>
        <w:tabs>
          <w:tab w:val="left" w:pos="360"/>
        </w:tabs>
        <w:spacing w:before="0" w:beforeAutospacing="0" w:after="0" w:afterAutospacing="0"/>
        <w:jc w:val="both"/>
        <w:rPr>
          <w:color w:val="000000"/>
          <w:highlight w:val="none"/>
          <w:shd w:val="clear" w:color="auto" w:fill="auto"/>
        </w:rPr>
      </w:pPr>
      <w:r>
        <w:rPr>
          <w:rFonts w:ascii="Times New Roman" w:hAnsi="Times New Roman" w:cs="Times New Roman"/>
          <w:color w:val="000000"/>
          <w:highlight w:val="none"/>
          <w:shd w:val="clear" w:color="auto" w:fill="auto"/>
        </w:rPr>
        <w:t>          被授权人联系电话：（手机）</w:t>
      </w:r>
      <w:r>
        <w:rPr>
          <w:rFonts w:ascii="Times New Roman" w:hAnsi="Times New Roman" w:cs="Times New Roman"/>
          <w:color w:val="000000"/>
          <w:highlight w:val="none"/>
          <w:u w:val="single"/>
          <w:shd w:val="clear" w:color="auto" w:fill="auto"/>
        </w:rPr>
        <w:t xml:space="preserve">                          </w:t>
      </w:r>
    </w:p>
    <w:p w14:paraId="55639550">
      <w:pPr>
        <w:pStyle w:val="212"/>
        <w:widowControl w:val="0"/>
        <w:tabs>
          <w:tab w:val="left" w:pos="360"/>
        </w:tabs>
        <w:spacing w:before="0" w:beforeAutospacing="0" w:after="0" w:afterAutospacing="0"/>
        <w:ind w:firstLine="720"/>
        <w:jc w:val="both"/>
        <w:rPr>
          <w:color w:val="000000"/>
          <w:highlight w:val="none"/>
          <w:shd w:val="clear" w:color="auto" w:fill="auto"/>
        </w:rPr>
      </w:pPr>
      <w:r>
        <w:rPr>
          <w:rFonts w:ascii="Times New Roman" w:hAnsi="Times New Roman" w:cs="Times New Roman"/>
          <w:color w:val="000000"/>
          <w:highlight w:val="none"/>
          <w:shd w:val="clear" w:color="auto" w:fill="auto"/>
        </w:rPr>
        <w:t>授权单位名称：</w:t>
      </w:r>
      <w:r>
        <w:rPr>
          <w:rFonts w:ascii="Times New Roman" w:hAnsi="Times New Roman" w:cs="Times New Roman"/>
          <w:color w:val="000000"/>
          <w:highlight w:val="none"/>
          <w:u w:val="single"/>
          <w:shd w:val="clear" w:color="auto" w:fill="auto"/>
        </w:rPr>
        <w:t>（加盖CA电子公章）</w:t>
      </w:r>
    </w:p>
    <w:p w14:paraId="046D3CCC">
      <w:pPr>
        <w:pStyle w:val="212"/>
        <w:widowControl w:val="0"/>
        <w:tabs>
          <w:tab w:val="left" w:pos="360"/>
        </w:tabs>
        <w:spacing w:before="0" w:beforeAutospacing="0" w:after="0" w:afterAutospacing="0"/>
        <w:ind w:firstLine="480"/>
        <w:jc w:val="both"/>
        <w:rPr>
          <w:color w:val="000000"/>
          <w:highlight w:val="none"/>
          <w:shd w:val="clear" w:color="auto" w:fill="auto"/>
        </w:rPr>
      </w:pPr>
      <w:r>
        <w:rPr>
          <w:rFonts w:ascii="Times New Roman" w:hAnsi="Times New Roman" w:cs="Times New Roman"/>
          <w:color w:val="000000"/>
          <w:highlight w:val="none"/>
          <w:shd w:val="clear" w:color="auto" w:fill="auto"/>
        </w:rPr>
        <w:t>     单位地址：</w:t>
      </w:r>
      <w:r>
        <w:rPr>
          <w:rFonts w:ascii="Times New Roman" w:hAnsi="Times New Roman" w:cs="Times New Roman"/>
          <w:color w:val="000000"/>
          <w:highlight w:val="none"/>
          <w:u w:val="single"/>
          <w:shd w:val="clear" w:color="auto" w:fill="auto"/>
        </w:rPr>
        <w:t xml:space="preserve">                                         </w:t>
      </w:r>
    </w:p>
    <w:p w14:paraId="6F05A3E2">
      <w:pPr>
        <w:pStyle w:val="212"/>
        <w:widowControl w:val="0"/>
        <w:tabs>
          <w:tab w:val="left" w:pos="360"/>
        </w:tabs>
        <w:spacing w:before="0" w:beforeAutospacing="0" w:after="0" w:afterAutospacing="0"/>
        <w:ind w:firstLine="480"/>
        <w:jc w:val="both"/>
        <w:rPr>
          <w:color w:val="000000"/>
          <w:highlight w:val="none"/>
          <w:shd w:val="clear" w:color="auto" w:fill="auto"/>
        </w:rPr>
      </w:pPr>
      <w:r>
        <w:rPr>
          <w:rFonts w:ascii="Times New Roman" w:hAnsi="Times New Roman" w:cs="Times New Roman"/>
          <w:color w:val="000000"/>
          <w:highlight w:val="none"/>
          <w:shd w:val="clear" w:color="auto" w:fill="auto"/>
        </w:rPr>
        <w:t>     日期：</w:t>
      </w:r>
      <w:bookmarkStart w:id="150" w:name="_Hlt26671380"/>
      <w:bookmarkStart w:id="151" w:name="_格式3__银行出具的资信证明"/>
      <w:bookmarkStart w:id="152" w:name="_Hlt26955070"/>
      <w:r>
        <w:rPr>
          <w:rFonts w:ascii="Times New Roman" w:hAnsi="Times New Roman" w:cs="Times New Roman"/>
          <w:color w:val="000000"/>
          <w:highlight w:val="none"/>
          <w:u w:val="single"/>
          <w:shd w:val="clear" w:color="auto" w:fill="auto"/>
        </w:rPr>
        <w:t xml:space="preserve">                                         </w:t>
      </w:r>
    </w:p>
    <w:p w14:paraId="6112EE81">
      <w:pPr>
        <w:pStyle w:val="212"/>
        <w:keepNext/>
        <w:keepLines/>
        <w:widowControl w:val="0"/>
        <w:spacing w:before="260" w:beforeAutospacing="0" w:after="260" w:afterAutospacing="0" w:line="415" w:lineRule="auto"/>
        <w:ind w:firstLine="3390"/>
        <w:jc w:val="both"/>
        <w:rPr>
          <w:color w:val="000000"/>
          <w:highlight w:val="none"/>
          <w:shd w:val="clear" w:color="auto" w:fill="auto"/>
        </w:rPr>
      </w:pPr>
      <w:r>
        <w:rPr>
          <w:rFonts w:hint="eastAsia"/>
          <w:b/>
          <w:color w:val="000000"/>
          <w:highlight w:val="none"/>
          <w:shd w:val="clear" w:color="auto" w:fill="auto"/>
        </w:rPr>
        <w:br w:type="column"/>
      </w:r>
      <w:r>
        <w:rPr>
          <w:rFonts w:hint="eastAsia"/>
          <w:b/>
          <w:color w:val="000000"/>
          <w:highlight w:val="none"/>
          <w:shd w:val="clear" w:color="auto" w:fill="auto"/>
        </w:rPr>
        <w:t> </w:t>
      </w:r>
      <w:r>
        <w:rPr>
          <w:rFonts w:hint="eastAsia" w:ascii="黑体" w:eastAsia="黑体" w:cs="黑体"/>
          <w:b/>
          <w:i/>
          <w:color w:val="000000"/>
          <w:sz w:val="32"/>
          <w:szCs w:val="32"/>
          <w:highlight w:val="none"/>
          <w:u w:val="single"/>
          <w:shd w:val="clear" w:color="auto" w:fill="auto"/>
        </w:rPr>
        <w:t>八、询价响应函</w:t>
      </w:r>
    </w:p>
    <w:p w14:paraId="29494D62">
      <w:pPr>
        <w:pStyle w:val="212"/>
        <w:widowControl w:val="0"/>
        <w:spacing w:before="0" w:beforeAutospacing="0" w:after="0" w:afterAutospacing="0" w:line="0" w:lineRule="atLeast"/>
        <w:rPr>
          <w:rFonts w:eastAsia="宋体"/>
          <w:color w:val="000000"/>
          <w:highlight w:val="none"/>
          <w:shd w:val="clear" w:color="auto" w:fill="auto"/>
          <w:lang w:val="en-US" w:eastAsia="zh-CN"/>
        </w:rPr>
      </w:pPr>
      <w:r>
        <w:rPr>
          <w:rFonts w:hint="eastAsia"/>
          <w:color w:val="000000"/>
          <w:highlight w:val="none"/>
          <w:shd w:val="clear" w:color="auto" w:fill="auto"/>
        </w:rPr>
        <w:t>致：</w:t>
      </w:r>
      <w:r>
        <w:rPr>
          <w:rFonts w:hint="eastAsia"/>
          <w:color w:val="000000"/>
          <w:highlight w:val="none"/>
          <w:shd w:val="clear" w:color="auto" w:fill="auto"/>
          <w:lang w:val="en-US" w:eastAsia="zh-CN"/>
        </w:rPr>
        <w:t>阜宁县民政局</w:t>
      </w:r>
    </w:p>
    <w:p w14:paraId="39BA1729">
      <w:pPr>
        <w:pStyle w:val="212"/>
        <w:widowControl w:val="0"/>
        <w:spacing w:before="0" w:beforeAutospacing="0" w:after="0" w:afterAutospacing="0" w:line="0" w:lineRule="atLeast"/>
        <w:ind w:firstLine="480"/>
        <w:rPr>
          <w:color w:val="000000"/>
          <w:highlight w:val="none"/>
          <w:shd w:val="clear" w:color="auto" w:fill="auto"/>
        </w:rPr>
      </w:pPr>
      <w:r>
        <w:rPr>
          <w:rFonts w:hint="eastAsia"/>
          <w:color w:val="000000"/>
          <w:highlight w:val="none"/>
          <w:shd w:val="clear" w:color="auto" w:fill="auto"/>
        </w:rPr>
        <w:t>根据贵方的</w:t>
      </w:r>
      <w:r>
        <w:rPr>
          <w:rFonts w:hint="eastAsia"/>
          <w:color w:val="000000"/>
          <w:highlight w:val="none"/>
          <w:shd w:val="clear" w:color="auto" w:fill="auto"/>
          <w:lang w:eastAsia="zh-CN"/>
        </w:rPr>
        <w:t>JSZC-320923-SNST-X2025-0003</w:t>
      </w:r>
      <w:r>
        <w:rPr>
          <w:rFonts w:hint="eastAsia"/>
          <w:color w:val="000000"/>
          <w:highlight w:val="none"/>
          <w:shd w:val="clear" w:color="auto" w:fill="auto"/>
        </w:rPr>
        <w:t>号询价文件，正式授权下述签字人______(姓名)代表我方______________（供应商的名称），全权处理本次项目询价的有关事宜。</w:t>
      </w:r>
    </w:p>
    <w:p w14:paraId="13E6F870">
      <w:pPr>
        <w:pStyle w:val="212"/>
        <w:widowControl w:val="0"/>
        <w:spacing w:before="0" w:beforeAutospacing="0" w:after="0" w:afterAutospacing="0" w:line="0" w:lineRule="atLeast"/>
        <w:ind w:firstLine="480"/>
        <w:rPr>
          <w:color w:val="000000"/>
          <w:highlight w:val="none"/>
          <w:shd w:val="clear" w:color="auto" w:fill="auto"/>
        </w:rPr>
      </w:pPr>
      <w:r>
        <w:rPr>
          <w:rFonts w:hint="eastAsia"/>
          <w:color w:val="000000"/>
          <w:highlight w:val="none"/>
          <w:shd w:val="clear" w:color="auto" w:fill="auto"/>
        </w:rPr>
        <w:t>据此函，__________</w:t>
      </w:r>
      <w:r>
        <w:rPr>
          <w:rFonts w:hint="eastAsia"/>
          <w:color w:val="000000"/>
          <w:highlight w:val="none"/>
          <w:shd w:val="clear" w:color="auto" w:fill="auto"/>
          <w:lang w:eastAsia="zh-CN"/>
        </w:rPr>
        <w:t>（</w:t>
      </w:r>
      <w:r>
        <w:rPr>
          <w:rFonts w:hint="eastAsia"/>
          <w:color w:val="000000"/>
          <w:highlight w:val="none"/>
          <w:shd w:val="clear" w:color="auto" w:fill="auto"/>
          <w:lang w:val="en-US" w:eastAsia="zh-CN"/>
        </w:rPr>
        <w:t>姓名</w:t>
      </w:r>
      <w:r>
        <w:rPr>
          <w:rFonts w:hint="eastAsia"/>
          <w:color w:val="000000"/>
          <w:highlight w:val="none"/>
          <w:shd w:val="clear" w:color="auto" w:fill="auto"/>
          <w:lang w:eastAsia="zh-CN"/>
        </w:rPr>
        <w:t>）</w:t>
      </w:r>
      <w:r>
        <w:rPr>
          <w:rFonts w:hint="eastAsia"/>
          <w:color w:val="000000"/>
          <w:highlight w:val="none"/>
          <w:shd w:val="clear" w:color="auto" w:fill="auto"/>
        </w:rPr>
        <w:t>签字人兹宣布同意如下：</w:t>
      </w:r>
    </w:p>
    <w:p w14:paraId="60AA1D28">
      <w:pPr>
        <w:pStyle w:val="212"/>
        <w:widowControl w:val="0"/>
        <w:spacing w:before="0" w:beforeAutospacing="0" w:after="0" w:afterAutospacing="0" w:line="0" w:lineRule="atLeast"/>
        <w:ind w:firstLine="480"/>
        <w:rPr>
          <w:color w:val="000000"/>
          <w:highlight w:val="none"/>
          <w:shd w:val="clear" w:color="auto" w:fill="auto"/>
        </w:rPr>
      </w:pPr>
      <w:r>
        <w:rPr>
          <w:rFonts w:hint="eastAsia"/>
          <w:color w:val="000000"/>
          <w:highlight w:val="none"/>
          <w:shd w:val="clear" w:color="auto" w:fill="auto"/>
        </w:rPr>
        <w:t>1.按询价文件规定的各项要求，向买方提供所需货物、服务（包含与货物相关的服务及与服务相关的货物）。</w:t>
      </w:r>
    </w:p>
    <w:p w14:paraId="42E0003D">
      <w:pPr>
        <w:pStyle w:val="212"/>
        <w:widowControl w:val="0"/>
        <w:spacing w:before="0" w:beforeAutospacing="0" w:after="0" w:afterAutospacing="0" w:line="0" w:lineRule="atLeast"/>
        <w:ind w:firstLine="480"/>
        <w:rPr>
          <w:color w:val="000000"/>
          <w:highlight w:val="none"/>
          <w:shd w:val="clear" w:color="auto" w:fill="auto"/>
        </w:rPr>
      </w:pPr>
      <w:r>
        <w:rPr>
          <w:rFonts w:hint="eastAsia"/>
          <w:color w:val="000000"/>
          <w:highlight w:val="none"/>
          <w:shd w:val="clear" w:color="auto" w:fill="auto"/>
        </w:rPr>
        <w:t>2.我们已详细审核全部询价文件及其有效补充文件，我们知道必须放弃提出含糊不清或误解问题的权利。</w:t>
      </w:r>
    </w:p>
    <w:p w14:paraId="24AB3473">
      <w:pPr>
        <w:pStyle w:val="212"/>
        <w:widowControl w:val="0"/>
        <w:spacing w:before="0" w:beforeAutospacing="0" w:after="0" w:afterAutospacing="0" w:line="0" w:lineRule="atLeast"/>
        <w:ind w:firstLine="480"/>
        <w:rPr>
          <w:color w:val="000000"/>
          <w:highlight w:val="none"/>
          <w:shd w:val="clear" w:color="auto" w:fill="auto"/>
        </w:rPr>
      </w:pPr>
      <w:r>
        <w:rPr>
          <w:rFonts w:hint="eastAsia"/>
          <w:color w:val="000000"/>
          <w:highlight w:val="none"/>
          <w:shd w:val="clear" w:color="auto" w:fill="auto"/>
        </w:rPr>
        <w:t>3.我们同意从规定的开标日期起遵循本响应文件，并在规定的询价有效期期满之前均具有约束力。</w:t>
      </w:r>
    </w:p>
    <w:p w14:paraId="75475561">
      <w:pPr>
        <w:pStyle w:val="212"/>
        <w:widowControl w:val="0"/>
        <w:spacing w:before="0" w:beforeAutospacing="0" w:after="0" w:afterAutospacing="0" w:line="0" w:lineRule="atLeast"/>
        <w:ind w:firstLine="480"/>
        <w:rPr>
          <w:color w:val="000000"/>
          <w:highlight w:val="none"/>
          <w:shd w:val="clear" w:color="auto" w:fill="auto"/>
        </w:rPr>
      </w:pPr>
      <w:r>
        <w:rPr>
          <w:rFonts w:hint="eastAsia"/>
          <w:color w:val="000000"/>
          <w:highlight w:val="none"/>
          <w:shd w:val="clear" w:color="auto" w:fill="auto"/>
        </w:rPr>
        <w:t>4.同意向贵方提供贵方可能另外要求的与询价有关的任何证据或资料，并保证我方已提供和将要提供的文件是真实的、准确的。</w:t>
      </w:r>
    </w:p>
    <w:p w14:paraId="669DCE4C">
      <w:pPr>
        <w:pStyle w:val="212"/>
        <w:widowControl w:val="0"/>
        <w:spacing w:before="0" w:beforeAutospacing="0" w:after="0" w:afterAutospacing="0" w:line="0" w:lineRule="atLeast"/>
        <w:ind w:firstLine="480"/>
        <w:rPr>
          <w:color w:val="000000"/>
          <w:highlight w:val="none"/>
          <w:shd w:val="clear" w:color="auto" w:fill="auto"/>
        </w:rPr>
      </w:pPr>
      <w:r>
        <w:rPr>
          <w:rFonts w:hint="eastAsia"/>
          <w:color w:val="000000"/>
          <w:highlight w:val="none"/>
          <w:shd w:val="clear" w:color="auto" w:fill="auto"/>
        </w:rPr>
        <w:t>5.一旦我方成交,我方将根据询价文件的规定，严格履行合同的责任和义务,并保证在询价文件规定的时间完成项目，交付买方验收、使用。</w:t>
      </w:r>
    </w:p>
    <w:p w14:paraId="4F41B731">
      <w:pPr>
        <w:pStyle w:val="212"/>
        <w:widowControl w:val="0"/>
        <w:spacing w:before="0" w:beforeAutospacing="0" w:after="0" w:afterAutospacing="0" w:line="0" w:lineRule="atLeast"/>
        <w:ind w:left="425"/>
        <w:rPr>
          <w:color w:val="000000"/>
          <w:highlight w:val="none"/>
          <w:shd w:val="clear" w:color="auto" w:fill="auto"/>
        </w:rPr>
      </w:pPr>
      <w:r>
        <w:rPr>
          <w:rFonts w:hint="eastAsia"/>
          <w:color w:val="000000"/>
          <w:highlight w:val="none"/>
          <w:shd w:val="clear" w:color="auto" w:fill="auto"/>
        </w:rPr>
        <w:t>6.我方与</w:t>
      </w:r>
      <w:r>
        <w:rPr>
          <w:rFonts w:hint="eastAsia"/>
          <w:color w:val="000000"/>
          <w:highlight w:val="none"/>
          <w:shd w:val="clear" w:color="auto" w:fill="auto"/>
          <w:lang w:eastAsia="zh-CN"/>
        </w:rPr>
        <w:t>本次</w:t>
      </w:r>
      <w:r>
        <w:rPr>
          <w:rFonts w:hint="eastAsia"/>
          <w:color w:val="000000"/>
          <w:highlight w:val="none"/>
          <w:shd w:val="clear" w:color="auto" w:fill="auto"/>
        </w:rPr>
        <w:t>询价有关的正式通讯地址为：</w:t>
      </w:r>
    </w:p>
    <w:p w14:paraId="7C9F2F8E">
      <w:pPr>
        <w:pStyle w:val="212"/>
        <w:widowControl w:val="0"/>
        <w:spacing w:before="0" w:beforeAutospacing="0" w:after="0" w:afterAutospacing="0" w:line="0" w:lineRule="atLeast"/>
        <w:ind w:left="420" w:firstLine="480"/>
        <w:rPr>
          <w:color w:val="000000"/>
          <w:highlight w:val="none"/>
          <w:shd w:val="clear" w:color="auto" w:fill="auto"/>
        </w:rPr>
      </w:pPr>
      <w:r>
        <w:rPr>
          <w:rFonts w:hint="eastAsia"/>
          <w:color w:val="000000"/>
          <w:highlight w:val="none"/>
          <w:shd w:val="clear" w:color="auto" w:fill="auto"/>
        </w:rPr>
        <w:t>地          址：</w:t>
      </w:r>
    </w:p>
    <w:p w14:paraId="47D8E432">
      <w:pPr>
        <w:pStyle w:val="212"/>
        <w:widowControl w:val="0"/>
        <w:spacing w:before="0" w:beforeAutospacing="0" w:after="0" w:afterAutospacing="0" w:line="0" w:lineRule="atLeast"/>
        <w:ind w:left="420" w:firstLine="480"/>
        <w:rPr>
          <w:color w:val="000000"/>
          <w:highlight w:val="none"/>
          <w:shd w:val="clear" w:color="auto" w:fill="auto"/>
        </w:rPr>
      </w:pPr>
      <w:r>
        <w:rPr>
          <w:rFonts w:hint="eastAsia"/>
          <w:color w:val="000000"/>
          <w:highlight w:val="none"/>
          <w:shd w:val="clear" w:color="auto" w:fill="auto"/>
        </w:rPr>
        <w:t>邮          编：</w:t>
      </w:r>
    </w:p>
    <w:p w14:paraId="1B405550">
      <w:pPr>
        <w:pStyle w:val="212"/>
        <w:widowControl w:val="0"/>
        <w:spacing w:before="0" w:beforeAutospacing="0" w:after="0" w:afterAutospacing="0" w:line="0" w:lineRule="atLeast"/>
        <w:ind w:left="420" w:firstLine="480"/>
        <w:rPr>
          <w:color w:val="000000"/>
          <w:highlight w:val="none"/>
          <w:shd w:val="clear" w:color="auto" w:fill="auto"/>
        </w:rPr>
      </w:pPr>
      <w:r>
        <w:rPr>
          <w:rFonts w:hint="eastAsia"/>
          <w:color w:val="000000"/>
          <w:highlight w:val="none"/>
          <w:shd w:val="clear" w:color="auto" w:fill="auto"/>
        </w:rPr>
        <w:t>电          话：</w:t>
      </w:r>
    </w:p>
    <w:p w14:paraId="56B4B228">
      <w:pPr>
        <w:pStyle w:val="212"/>
        <w:widowControl w:val="0"/>
        <w:spacing w:before="0" w:beforeAutospacing="0" w:after="0" w:afterAutospacing="0" w:line="0" w:lineRule="atLeast"/>
        <w:ind w:left="420" w:firstLine="480"/>
        <w:rPr>
          <w:color w:val="000000"/>
          <w:highlight w:val="none"/>
          <w:shd w:val="clear" w:color="auto" w:fill="auto"/>
        </w:rPr>
      </w:pPr>
      <w:r>
        <w:rPr>
          <w:rFonts w:hint="eastAsia"/>
          <w:color w:val="000000"/>
          <w:highlight w:val="none"/>
          <w:shd w:val="clear" w:color="auto" w:fill="auto"/>
        </w:rPr>
        <w:t>传          真：</w:t>
      </w:r>
    </w:p>
    <w:p w14:paraId="028AD7AB">
      <w:pPr>
        <w:pStyle w:val="212"/>
        <w:widowControl w:val="0"/>
        <w:spacing w:before="0" w:beforeAutospacing="0" w:after="0" w:afterAutospacing="0" w:line="0" w:lineRule="atLeast"/>
        <w:ind w:left="420" w:firstLine="480"/>
        <w:rPr>
          <w:color w:val="000000"/>
          <w:highlight w:val="none"/>
          <w:shd w:val="clear" w:color="auto" w:fill="auto"/>
        </w:rPr>
      </w:pPr>
      <w:r>
        <w:rPr>
          <w:rFonts w:hint="eastAsia"/>
          <w:color w:val="000000"/>
          <w:highlight w:val="none"/>
          <w:shd w:val="clear" w:color="auto" w:fill="auto"/>
        </w:rPr>
        <w:t>供应商开户行：</w:t>
      </w:r>
    </w:p>
    <w:p w14:paraId="119F4A29">
      <w:pPr>
        <w:pStyle w:val="212"/>
        <w:widowControl w:val="0"/>
        <w:spacing w:before="0" w:beforeAutospacing="0" w:after="0" w:afterAutospacing="0" w:line="0" w:lineRule="atLeast"/>
        <w:ind w:left="420" w:firstLine="480"/>
        <w:rPr>
          <w:color w:val="000000"/>
          <w:highlight w:val="none"/>
          <w:shd w:val="clear" w:color="auto" w:fill="auto"/>
        </w:rPr>
      </w:pPr>
      <w:r>
        <w:rPr>
          <w:rFonts w:hint="eastAsia"/>
          <w:color w:val="000000"/>
          <w:highlight w:val="none"/>
          <w:shd w:val="clear" w:color="auto" w:fill="auto"/>
        </w:rPr>
        <w:t xml:space="preserve">账          号： </w:t>
      </w:r>
    </w:p>
    <w:p w14:paraId="45A24A2B">
      <w:pPr>
        <w:pStyle w:val="212"/>
        <w:widowControl w:val="0"/>
        <w:spacing w:before="0" w:beforeAutospacing="0" w:after="0" w:afterAutospacing="0" w:line="0" w:lineRule="atLeast"/>
        <w:ind w:left="420" w:firstLine="480"/>
        <w:rPr>
          <w:color w:val="000000"/>
          <w:highlight w:val="none"/>
          <w:shd w:val="clear" w:color="auto" w:fill="auto"/>
        </w:rPr>
      </w:pPr>
      <w:r>
        <w:rPr>
          <w:rFonts w:hint="eastAsia"/>
          <w:color w:val="000000"/>
          <w:highlight w:val="none"/>
          <w:shd w:val="clear" w:color="auto" w:fill="auto"/>
        </w:rPr>
        <w:t>日           期：________年____月____日</w:t>
      </w:r>
    </w:p>
    <w:p w14:paraId="7A19254E">
      <w:pPr>
        <w:pStyle w:val="212"/>
        <w:widowControl w:val="0"/>
        <w:spacing w:before="0" w:beforeAutospacing="0" w:after="0" w:afterAutospacing="0" w:line="0" w:lineRule="atLeast"/>
        <w:ind w:firstLine="240"/>
        <w:jc w:val="center"/>
        <w:rPr>
          <w:color w:val="000000"/>
          <w:highlight w:val="none"/>
          <w:shd w:val="clear" w:color="auto" w:fill="auto"/>
        </w:rPr>
      </w:pPr>
      <w:r>
        <w:rPr>
          <w:color w:val="000000"/>
          <w:highlight w:val="none"/>
          <w:shd w:val="clear" w:color="auto" w:fill="auto"/>
        </w:rPr>
        <w:t> </w:t>
      </w:r>
    </w:p>
    <w:p w14:paraId="2C46C929">
      <w:pPr>
        <w:pStyle w:val="212"/>
        <w:widowControl w:val="0"/>
        <w:spacing w:before="0" w:beforeAutospacing="0" w:after="0" w:afterAutospacing="0" w:line="0" w:lineRule="atLeast"/>
        <w:ind w:firstLine="240"/>
        <w:jc w:val="center"/>
        <w:rPr>
          <w:color w:val="000000"/>
          <w:highlight w:val="none"/>
          <w:shd w:val="clear" w:color="auto" w:fill="auto"/>
        </w:rPr>
      </w:pPr>
    </w:p>
    <w:p w14:paraId="510BA9A8">
      <w:pPr>
        <w:pStyle w:val="212"/>
        <w:widowControl w:val="0"/>
        <w:spacing w:before="0" w:beforeAutospacing="0" w:after="0" w:afterAutospacing="0" w:line="0" w:lineRule="atLeast"/>
        <w:ind w:firstLine="240"/>
        <w:jc w:val="center"/>
        <w:rPr>
          <w:color w:val="000000"/>
          <w:highlight w:val="none"/>
          <w:shd w:val="clear" w:color="auto" w:fill="auto"/>
        </w:rPr>
      </w:pPr>
    </w:p>
    <w:p w14:paraId="771A514C">
      <w:pPr>
        <w:pStyle w:val="212"/>
        <w:widowControl w:val="0"/>
        <w:spacing w:before="0" w:beforeAutospacing="0" w:after="0" w:afterAutospacing="0" w:line="0" w:lineRule="atLeast"/>
        <w:ind w:firstLine="240"/>
        <w:jc w:val="center"/>
        <w:rPr>
          <w:color w:val="000000"/>
          <w:highlight w:val="none"/>
          <w:shd w:val="clear" w:color="auto" w:fill="auto"/>
        </w:rPr>
      </w:pPr>
    </w:p>
    <w:p w14:paraId="17E601D9">
      <w:pPr>
        <w:pStyle w:val="212"/>
        <w:widowControl w:val="0"/>
        <w:spacing w:before="0" w:beforeAutospacing="0" w:after="0" w:afterAutospacing="0" w:line="0" w:lineRule="atLeast"/>
        <w:ind w:firstLine="240"/>
        <w:jc w:val="center"/>
        <w:rPr>
          <w:color w:val="000000"/>
          <w:highlight w:val="none"/>
          <w:shd w:val="clear" w:color="auto" w:fill="auto"/>
        </w:rPr>
      </w:pPr>
    </w:p>
    <w:p w14:paraId="597E1919">
      <w:pPr>
        <w:pStyle w:val="212"/>
        <w:widowControl w:val="0"/>
        <w:spacing w:before="0" w:beforeAutospacing="0" w:after="0" w:afterAutospacing="0" w:line="0" w:lineRule="atLeast"/>
        <w:ind w:firstLine="240"/>
        <w:jc w:val="center"/>
        <w:rPr>
          <w:color w:val="000000"/>
          <w:highlight w:val="none"/>
          <w:shd w:val="clear" w:color="auto" w:fill="auto"/>
        </w:rPr>
      </w:pPr>
    </w:p>
    <w:p w14:paraId="770FD1D5">
      <w:pPr>
        <w:pStyle w:val="212"/>
        <w:widowControl w:val="0"/>
        <w:spacing w:before="0" w:beforeAutospacing="0" w:after="0" w:afterAutospacing="0" w:line="0" w:lineRule="atLeast"/>
        <w:ind w:firstLine="240"/>
        <w:jc w:val="center"/>
        <w:rPr>
          <w:color w:val="000000"/>
          <w:highlight w:val="none"/>
          <w:shd w:val="clear" w:color="auto" w:fill="auto"/>
        </w:rPr>
      </w:pPr>
    </w:p>
    <w:p w14:paraId="10985930">
      <w:pPr>
        <w:pStyle w:val="212"/>
        <w:widowControl w:val="0"/>
        <w:spacing w:before="0" w:beforeAutospacing="0" w:after="0" w:afterAutospacing="0" w:line="0" w:lineRule="atLeast"/>
        <w:ind w:firstLine="240"/>
        <w:jc w:val="center"/>
        <w:rPr>
          <w:color w:val="000000"/>
          <w:highlight w:val="none"/>
          <w:shd w:val="clear" w:color="auto" w:fill="auto"/>
        </w:rPr>
      </w:pPr>
    </w:p>
    <w:p w14:paraId="5CB5718D">
      <w:pPr>
        <w:pStyle w:val="212"/>
        <w:widowControl w:val="0"/>
        <w:spacing w:before="0" w:beforeAutospacing="0" w:after="0" w:afterAutospacing="0" w:line="0" w:lineRule="atLeast"/>
        <w:ind w:firstLine="240"/>
        <w:jc w:val="center"/>
        <w:rPr>
          <w:color w:val="000000"/>
          <w:highlight w:val="none"/>
          <w:shd w:val="clear" w:color="auto" w:fill="auto"/>
        </w:rPr>
      </w:pPr>
    </w:p>
    <w:p w14:paraId="0170946F">
      <w:pPr>
        <w:pStyle w:val="212"/>
        <w:widowControl w:val="0"/>
        <w:spacing w:before="0" w:beforeAutospacing="0" w:after="0" w:afterAutospacing="0" w:line="0" w:lineRule="atLeast"/>
        <w:ind w:firstLine="240"/>
        <w:jc w:val="center"/>
        <w:rPr>
          <w:color w:val="000000"/>
          <w:highlight w:val="none"/>
          <w:shd w:val="clear" w:color="auto" w:fill="auto"/>
        </w:rPr>
      </w:pPr>
    </w:p>
    <w:p w14:paraId="0CF9A6AD">
      <w:pPr>
        <w:pStyle w:val="212"/>
        <w:widowControl w:val="0"/>
        <w:spacing w:before="0" w:beforeAutospacing="0" w:after="0" w:afterAutospacing="0" w:line="0" w:lineRule="atLeast"/>
        <w:ind w:firstLine="240"/>
        <w:jc w:val="center"/>
        <w:rPr>
          <w:color w:val="000000"/>
          <w:highlight w:val="none"/>
          <w:shd w:val="clear" w:color="auto" w:fill="auto"/>
        </w:rPr>
      </w:pPr>
    </w:p>
    <w:p w14:paraId="05CE061D">
      <w:pPr>
        <w:pStyle w:val="212"/>
        <w:widowControl w:val="0"/>
        <w:spacing w:before="0" w:beforeAutospacing="0" w:after="0" w:afterAutospacing="0" w:line="0" w:lineRule="atLeast"/>
        <w:ind w:firstLine="240"/>
        <w:jc w:val="center"/>
        <w:rPr>
          <w:color w:val="000000"/>
          <w:highlight w:val="none"/>
          <w:shd w:val="clear" w:color="auto" w:fill="auto"/>
        </w:rPr>
      </w:pPr>
    </w:p>
    <w:p w14:paraId="7526B6A6">
      <w:pPr>
        <w:pStyle w:val="212"/>
        <w:widowControl w:val="0"/>
        <w:spacing w:before="0" w:beforeAutospacing="0" w:after="0" w:afterAutospacing="0" w:line="0" w:lineRule="atLeast"/>
        <w:ind w:firstLine="240"/>
        <w:jc w:val="center"/>
        <w:rPr>
          <w:color w:val="000000"/>
          <w:highlight w:val="none"/>
          <w:shd w:val="clear" w:color="auto" w:fill="auto"/>
        </w:rPr>
      </w:pPr>
    </w:p>
    <w:p w14:paraId="462CC567">
      <w:pPr>
        <w:pStyle w:val="212"/>
        <w:widowControl w:val="0"/>
        <w:spacing w:before="0" w:beforeAutospacing="0" w:after="0" w:afterAutospacing="0" w:line="0" w:lineRule="atLeast"/>
        <w:ind w:firstLine="240"/>
        <w:jc w:val="center"/>
        <w:rPr>
          <w:color w:val="000000"/>
          <w:highlight w:val="none"/>
          <w:shd w:val="clear" w:color="auto" w:fill="auto"/>
        </w:rPr>
      </w:pPr>
    </w:p>
    <w:p w14:paraId="15EB5AAC">
      <w:pPr>
        <w:pStyle w:val="212"/>
        <w:widowControl w:val="0"/>
        <w:spacing w:before="0" w:beforeAutospacing="0" w:after="0" w:afterAutospacing="0" w:line="0" w:lineRule="atLeast"/>
        <w:ind w:firstLine="240"/>
        <w:jc w:val="center"/>
        <w:rPr>
          <w:color w:val="000000"/>
          <w:highlight w:val="none"/>
          <w:shd w:val="clear" w:color="auto" w:fill="auto"/>
        </w:rPr>
      </w:pPr>
    </w:p>
    <w:p w14:paraId="601DBB00">
      <w:pPr>
        <w:pStyle w:val="212"/>
        <w:widowControl w:val="0"/>
        <w:spacing w:before="0" w:beforeAutospacing="0" w:after="0" w:afterAutospacing="0" w:line="0" w:lineRule="atLeast"/>
        <w:ind w:firstLine="240"/>
        <w:jc w:val="center"/>
        <w:rPr>
          <w:color w:val="000000"/>
          <w:highlight w:val="none"/>
          <w:shd w:val="clear" w:color="auto" w:fill="auto"/>
        </w:rPr>
      </w:pPr>
      <w:r>
        <w:rPr>
          <w:color w:val="000000"/>
          <w:highlight w:val="none"/>
          <w:shd w:val="clear" w:color="auto" w:fill="auto"/>
        </w:rPr>
        <w:t> </w:t>
      </w:r>
    </w:p>
    <w:p w14:paraId="216E5455">
      <w:pPr>
        <w:pStyle w:val="212"/>
        <w:widowControl w:val="0"/>
        <w:spacing w:before="0" w:beforeAutospacing="0" w:after="0" w:afterAutospacing="0" w:line="0" w:lineRule="atLeast"/>
        <w:ind w:firstLine="240"/>
        <w:jc w:val="center"/>
        <w:rPr>
          <w:color w:val="000000"/>
          <w:highlight w:val="none"/>
          <w:shd w:val="clear" w:color="auto" w:fill="auto"/>
        </w:rPr>
      </w:pPr>
    </w:p>
    <w:p w14:paraId="094C48F0">
      <w:pPr>
        <w:pStyle w:val="212"/>
        <w:spacing w:beforeAutospacing="0" w:afterAutospacing="0" w:line="0" w:lineRule="atLeast"/>
        <w:jc w:val="center"/>
        <w:rPr>
          <w:color w:val="000000"/>
          <w:highlight w:val="none"/>
        </w:rPr>
      </w:pPr>
      <w:r>
        <w:rPr>
          <w:rFonts w:hint="eastAsia" w:ascii="黑体" w:hAnsi="宋体" w:eastAsia="黑体" w:cs="黑体"/>
          <w:b/>
          <w:color w:val="000000"/>
          <w:sz w:val="32"/>
          <w:szCs w:val="32"/>
          <w:highlight w:val="none"/>
        </w:rPr>
        <w:t>九、</w:t>
      </w:r>
      <w:r>
        <w:rPr>
          <w:rFonts w:hint="eastAsia" w:ascii="黑体" w:hAnsi="宋体" w:eastAsia="黑体" w:cs="黑体"/>
          <w:b/>
          <w:color w:val="000000"/>
          <w:sz w:val="32"/>
          <w:szCs w:val="32"/>
          <w:highlight w:val="none"/>
          <w:lang w:val="en-US" w:eastAsia="zh-CN"/>
        </w:rPr>
        <w:t>中小</w:t>
      </w:r>
      <w:r>
        <w:rPr>
          <w:rFonts w:hint="eastAsia" w:ascii="黑体" w:hAnsi="宋体" w:eastAsia="黑体" w:cs="黑体"/>
          <w:b/>
          <w:color w:val="000000"/>
          <w:sz w:val="32"/>
          <w:szCs w:val="32"/>
          <w:highlight w:val="none"/>
        </w:rPr>
        <w:t>企业声明函（</w:t>
      </w:r>
      <w:r>
        <w:rPr>
          <w:rFonts w:hint="eastAsia" w:ascii="黑体" w:hAnsi="宋体" w:eastAsia="黑体" w:cs="黑体"/>
          <w:b/>
          <w:color w:val="000000"/>
          <w:sz w:val="32"/>
          <w:szCs w:val="32"/>
          <w:highlight w:val="none"/>
          <w:lang w:val="en-US" w:eastAsia="zh-CN"/>
        </w:rPr>
        <w:t>货物</w:t>
      </w:r>
      <w:r>
        <w:rPr>
          <w:rFonts w:hint="eastAsia" w:ascii="黑体" w:hAnsi="宋体" w:eastAsia="黑体" w:cs="黑体"/>
          <w:b/>
          <w:color w:val="000000"/>
          <w:sz w:val="32"/>
          <w:szCs w:val="32"/>
          <w:highlight w:val="none"/>
        </w:rPr>
        <w:t>）</w:t>
      </w:r>
    </w:p>
    <w:p w14:paraId="44BE6CD5">
      <w:pPr>
        <w:spacing w:line="500" w:lineRule="exact"/>
        <w:ind w:firstLine="480"/>
        <w:jc w:val="both"/>
        <w:rPr>
          <w:rFonts w:hint="eastAsia"/>
          <w:color w:val="000000"/>
          <w:sz w:val="24"/>
          <w:highlight w:val="none"/>
        </w:rPr>
      </w:pPr>
    </w:p>
    <w:p w14:paraId="380B35E3">
      <w:pPr>
        <w:spacing w:line="500" w:lineRule="exact"/>
        <w:ind w:firstLine="480"/>
        <w:jc w:val="both"/>
        <w:rPr>
          <w:rFonts w:hint="eastAsia"/>
          <w:color w:val="000000"/>
          <w:sz w:val="24"/>
          <w:highlight w:val="none"/>
        </w:rPr>
      </w:pPr>
      <w:r>
        <w:rPr>
          <w:rFonts w:hint="eastAsia"/>
          <w:color w:val="000000"/>
          <w:sz w:val="24"/>
          <w:highlight w:val="none"/>
        </w:rPr>
        <w:t>本公司（联合体）郑重声明，根据《政府采购促进中小企业发展管理办法》(财库</w:t>
      </w:r>
      <w:r>
        <w:rPr>
          <w:rFonts w:hint="eastAsia"/>
          <w:color w:val="000000"/>
          <w:sz w:val="24"/>
          <w:highlight w:val="none"/>
          <w:lang w:eastAsia="zh-CN"/>
        </w:rPr>
        <w:t>〔2020〕46号</w:t>
      </w:r>
      <w:r>
        <w:rPr>
          <w:rFonts w:hint="eastAsia"/>
          <w:color w:val="000000"/>
          <w:sz w:val="24"/>
          <w:highlight w:val="none"/>
        </w:rPr>
        <w:t>)的规定，本公司</w:t>
      </w:r>
      <w:r>
        <w:rPr>
          <w:rFonts w:hint="eastAsia"/>
          <w:color w:val="000000"/>
          <w:sz w:val="24"/>
          <w:highlight w:val="none"/>
          <w:u w:val="single"/>
          <w:lang w:val="en-US" w:eastAsia="zh-CN"/>
        </w:rPr>
        <w:t xml:space="preserve">          </w:t>
      </w:r>
      <w:r>
        <w:rPr>
          <w:rFonts w:hint="eastAsia"/>
          <w:color w:val="000000"/>
          <w:sz w:val="24"/>
          <w:highlight w:val="none"/>
        </w:rPr>
        <w:t>参加</w:t>
      </w:r>
      <w:r>
        <w:rPr>
          <w:rFonts w:hint="eastAsia"/>
          <w:color w:val="000000"/>
          <w:sz w:val="24"/>
          <w:highlight w:val="none"/>
          <w:u w:val="single"/>
          <w:lang w:val="en-US" w:eastAsia="zh-CN"/>
        </w:rPr>
        <w:t>阜宁县民政局</w:t>
      </w:r>
      <w:r>
        <w:rPr>
          <w:rFonts w:hint="eastAsia"/>
          <w:color w:val="000000"/>
          <w:sz w:val="24"/>
          <w:highlight w:val="none"/>
        </w:rPr>
        <w:t>组织的，采购编号为</w:t>
      </w:r>
      <w:r>
        <w:rPr>
          <w:rFonts w:hint="eastAsia"/>
          <w:color w:val="000000"/>
          <w:sz w:val="24"/>
          <w:highlight w:val="none"/>
          <w:u w:val="single"/>
        </w:rPr>
        <w:t xml:space="preserve"> </w:t>
      </w:r>
      <w:r>
        <w:rPr>
          <w:rFonts w:hint="eastAsia"/>
          <w:color w:val="000000"/>
          <w:sz w:val="24"/>
          <w:highlight w:val="none"/>
          <w:u w:val="single"/>
          <w:lang w:eastAsia="zh-CN"/>
        </w:rPr>
        <w:t>JSZC-320923-SNST-X2025-0003</w:t>
      </w:r>
      <w:r>
        <w:rPr>
          <w:rFonts w:hint="eastAsia"/>
          <w:color w:val="000000"/>
          <w:sz w:val="24"/>
          <w:highlight w:val="none"/>
          <w:u w:val="single"/>
          <w:lang w:val="en-US" w:eastAsia="zh-CN"/>
        </w:rPr>
        <w:t xml:space="preserve"> </w:t>
      </w:r>
      <w:r>
        <w:rPr>
          <w:rFonts w:hint="eastAsia"/>
          <w:color w:val="000000"/>
          <w:sz w:val="24"/>
          <w:highlight w:val="none"/>
        </w:rPr>
        <w:t>的</w:t>
      </w:r>
      <w:r>
        <w:rPr>
          <w:rFonts w:hint="eastAsia"/>
          <w:color w:val="000000"/>
          <w:sz w:val="24"/>
          <w:highlight w:val="none"/>
          <w:u w:val="single"/>
        </w:rPr>
        <w:t>（项目名称）</w:t>
      </w:r>
      <w:r>
        <w:rPr>
          <w:rFonts w:hint="eastAsia"/>
          <w:color w:val="000000"/>
          <w:sz w:val="24"/>
          <w:highlight w:val="none"/>
          <w:u w:val="single"/>
          <w:lang w:val="en-US" w:eastAsia="zh-CN"/>
        </w:rPr>
        <w:t xml:space="preserve">    </w:t>
      </w:r>
      <w:r>
        <w:rPr>
          <w:rFonts w:hint="eastAsia"/>
          <w:color w:val="000000"/>
          <w:sz w:val="24"/>
          <w:highlight w:val="none"/>
        </w:rPr>
        <w:t>的采购活动，提供的货物全部由符合政策要求的</w:t>
      </w:r>
      <w:r>
        <w:rPr>
          <w:rFonts w:hint="eastAsia"/>
          <w:color w:val="000000"/>
          <w:sz w:val="24"/>
          <w:highlight w:val="none"/>
          <w:lang w:val="en-US" w:eastAsia="zh-CN"/>
        </w:rPr>
        <w:t>中小</w:t>
      </w:r>
      <w:r>
        <w:rPr>
          <w:rFonts w:hint="eastAsia"/>
          <w:color w:val="000000"/>
          <w:sz w:val="24"/>
          <w:highlight w:val="none"/>
        </w:rPr>
        <w:t>企业制造。相关企业（含联合体中</w:t>
      </w:r>
      <w:r>
        <w:rPr>
          <w:rFonts w:hint="eastAsia"/>
          <w:color w:val="000000"/>
          <w:sz w:val="24"/>
          <w:highlight w:val="none"/>
          <w:lang w:val="en-US" w:eastAsia="zh-CN"/>
        </w:rPr>
        <w:t>的中小</w:t>
      </w:r>
      <w:r>
        <w:rPr>
          <w:rFonts w:hint="eastAsia"/>
          <w:color w:val="000000"/>
          <w:sz w:val="24"/>
          <w:highlight w:val="none"/>
        </w:rPr>
        <w:t>企业、签订分包意向协议的</w:t>
      </w:r>
      <w:r>
        <w:rPr>
          <w:rFonts w:hint="eastAsia"/>
          <w:color w:val="000000"/>
          <w:sz w:val="24"/>
          <w:highlight w:val="none"/>
          <w:lang w:val="en-US" w:eastAsia="zh-CN"/>
        </w:rPr>
        <w:t>中</w:t>
      </w:r>
      <w:r>
        <w:rPr>
          <w:rFonts w:hint="eastAsia"/>
          <w:color w:val="000000"/>
          <w:sz w:val="24"/>
          <w:highlight w:val="none"/>
        </w:rPr>
        <w:t>小企业）的具体情况如下：</w:t>
      </w:r>
    </w:p>
    <w:p w14:paraId="1A101989">
      <w:pPr>
        <w:pStyle w:val="212"/>
        <w:widowControl w:val="0"/>
        <w:spacing w:before="0" w:beforeAutospacing="0" w:after="0" w:afterAutospacing="0" w:line="360" w:lineRule="auto"/>
        <w:ind w:firstLine="360"/>
        <w:jc w:val="both"/>
        <w:rPr>
          <w:color w:val="000000"/>
          <w:highlight w:val="none"/>
        </w:rPr>
      </w:pPr>
      <w:r>
        <w:rPr>
          <w:rFonts w:hint="eastAsia"/>
          <w:color w:val="000000"/>
          <w:highlight w:val="none"/>
        </w:rPr>
        <w:t>1.</w:t>
      </w:r>
      <w:r>
        <w:rPr>
          <w:rFonts w:hint="eastAsia"/>
          <w:color w:val="000000"/>
          <w:highlight w:val="none"/>
          <w:u w:val="single"/>
        </w:rPr>
        <w:t>（标的名称）</w:t>
      </w:r>
      <w:r>
        <w:rPr>
          <w:rFonts w:hint="eastAsia"/>
          <w:i/>
          <w:color w:val="000000"/>
          <w:highlight w:val="none"/>
        </w:rPr>
        <w:t>，</w:t>
      </w:r>
      <w:r>
        <w:rPr>
          <w:rFonts w:hint="eastAsia"/>
          <w:color w:val="000000"/>
          <w:highlight w:val="none"/>
        </w:rPr>
        <w:t>属于</w:t>
      </w:r>
      <w:r>
        <w:rPr>
          <w:rFonts w:hint="eastAsia"/>
          <w:color w:val="000000"/>
          <w:highlight w:val="none"/>
          <w:u w:val="single"/>
          <w:lang w:val="en-US" w:eastAsia="zh-CN"/>
        </w:rPr>
        <w:t>(采购文件中明确的所属行业)</w:t>
      </w:r>
      <w:r>
        <w:rPr>
          <w:rFonts w:hint="eastAsia"/>
          <w:color w:val="000000"/>
          <w:highlight w:val="none"/>
        </w:rPr>
        <w:t>行业；制造商为</w:t>
      </w:r>
      <w:r>
        <w:rPr>
          <w:rFonts w:hint="eastAsia"/>
          <w:color w:val="000000"/>
          <w:highlight w:val="none"/>
          <w:u w:val="single"/>
        </w:rPr>
        <w:t>（企业名称）</w:t>
      </w:r>
      <w:r>
        <w:rPr>
          <w:rFonts w:hint="eastAsia"/>
          <w:color w:val="000000"/>
          <w:highlight w:val="none"/>
        </w:rPr>
        <w:t>，从业人员</w:t>
      </w:r>
      <w:r>
        <w:rPr>
          <w:rFonts w:hint="eastAsia"/>
          <w:color w:val="000000"/>
          <w:highlight w:val="none"/>
          <w:u w:val="single"/>
        </w:rPr>
        <w:t xml:space="preserve">      </w:t>
      </w:r>
      <w:r>
        <w:rPr>
          <w:rFonts w:hint="eastAsia"/>
          <w:color w:val="000000"/>
          <w:highlight w:val="none"/>
        </w:rPr>
        <w:t>人，营业收入为</w:t>
      </w:r>
      <w:r>
        <w:rPr>
          <w:rFonts w:hint="eastAsia"/>
          <w:color w:val="000000"/>
          <w:highlight w:val="none"/>
          <w:u w:val="single"/>
        </w:rPr>
        <w:t xml:space="preserve">     </w:t>
      </w:r>
      <w:r>
        <w:rPr>
          <w:rFonts w:hint="eastAsia"/>
          <w:color w:val="000000"/>
          <w:highlight w:val="none"/>
        </w:rPr>
        <w:t>万元，资产总额为</w:t>
      </w:r>
      <w:r>
        <w:rPr>
          <w:rFonts w:hint="eastAsia"/>
          <w:color w:val="000000"/>
          <w:highlight w:val="none"/>
          <w:u w:val="single"/>
        </w:rPr>
        <w:t xml:space="preserve">      </w:t>
      </w:r>
      <w:r>
        <w:rPr>
          <w:rFonts w:hint="eastAsia"/>
          <w:color w:val="000000"/>
          <w:highlight w:val="none"/>
        </w:rPr>
        <w:t>万元，属于</w:t>
      </w:r>
      <w:r>
        <w:rPr>
          <w:rFonts w:hint="eastAsia"/>
          <w:color w:val="000000"/>
          <w:highlight w:val="none"/>
          <w:u w:val="single"/>
        </w:rPr>
        <w:t>（中型企业、小型企业、微型企业）；</w:t>
      </w:r>
    </w:p>
    <w:p w14:paraId="5F4B96AF">
      <w:pPr>
        <w:pStyle w:val="212"/>
        <w:widowControl w:val="0"/>
        <w:spacing w:before="0" w:beforeAutospacing="0" w:after="0" w:afterAutospacing="0" w:line="360" w:lineRule="auto"/>
        <w:ind w:firstLine="360"/>
        <w:jc w:val="both"/>
        <w:rPr>
          <w:color w:val="000000"/>
          <w:highlight w:val="none"/>
        </w:rPr>
      </w:pPr>
      <w:r>
        <w:rPr>
          <w:rFonts w:hint="eastAsia"/>
          <w:color w:val="000000"/>
          <w:highlight w:val="none"/>
        </w:rPr>
        <w:t>2.</w:t>
      </w:r>
      <w:r>
        <w:rPr>
          <w:rFonts w:hint="eastAsia"/>
          <w:color w:val="000000"/>
          <w:highlight w:val="none"/>
          <w:u w:val="single"/>
        </w:rPr>
        <w:t>（标的名称）</w:t>
      </w:r>
      <w:r>
        <w:rPr>
          <w:rFonts w:hint="eastAsia"/>
          <w:i/>
          <w:color w:val="000000"/>
          <w:highlight w:val="none"/>
        </w:rPr>
        <w:t>，</w:t>
      </w:r>
      <w:r>
        <w:rPr>
          <w:rFonts w:hint="eastAsia"/>
          <w:color w:val="000000"/>
          <w:highlight w:val="none"/>
        </w:rPr>
        <w:t>属于</w:t>
      </w:r>
      <w:r>
        <w:rPr>
          <w:rFonts w:hint="eastAsia"/>
          <w:color w:val="000000"/>
          <w:highlight w:val="none"/>
          <w:u w:val="single"/>
          <w:lang w:val="en-US" w:eastAsia="zh-CN"/>
        </w:rPr>
        <w:t>(采购文件中明确的所属行业)</w:t>
      </w:r>
      <w:r>
        <w:rPr>
          <w:rFonts w:hint="eastAsia"/>
          <w:color w:val="000000"/>
          <w:highlight w:val="none"/>
        </w:rPr>
        <w:t>行业；制造商为</w:t>
      </w:r>
      <w:r>
        <w:rPr>
          <w:rFonts w:hint="eastAsia"/>
          <w:color w:val="000000"/>
          <w:highlight w:val="none"/>
          <w:u w:val="single"/>
        </w:rPr>
        <w:t>（企业名称）</w:t>
      </w:r>
      <w:r>
        <w:rPr>
          <w:rFonts w:hint="eastAsia"/>
          <w:color w:val="000000"/>
          <w:highlight w:val="none"/>
        </w:rPr>
        <w:t>，从业人员</w:t>
      </w:r>
      <w:r>
        <w:rPr>
          <w:rFonts w:hint="eastAsia"/>
          <w:color w:val="000000"/>
          <w:highlight w:val="none"/>
          <w:u w:val="single"/>
        </w:rPr>
        <w:t xml:space="preserve">      </w:t>
      </w:r>
      <w:r>
        <w:rPr>
          <w:rFonts w:hint="eastAsia"/>
          <w:color w:val="000000"/>
          <w:highlight w:val="none"/>
        </w:rPr>
        <w:t>人，营业收入为</w:t>
      </w:r>
      <w:r>
        <w:rPr>
          <w:rFonts w:hint="eastAsia"/>
          <w:color w:val="000000"/>
          <w:highlight w:val="none"/>
          <w:u w:val="single"/>
        </w:rPr>
        <w:t xml:space="preserve">     </w:t>
      </w:r>
      <w:r>
        <w:rPr>
          <w:rFonts w:hint="eastAsia"/>
          <w:color w:val="000000"/>
          <w:highlight w:val="none"/>
        </w:rPr>
        <w:t>万元，资产总额为</w:t>
      </w:r>
      <w:r>
        <w:rPr>
          <w:rFonts w:hint="eastAsia"/>
          <w:color w:val="000000"/>
          <w:highlight w:val="none"/>
          <w:u w:val="single"/>
        </w:rPr>
        <w:t xml:space="preserve">      </w:t>
      </w:r>
      <w:r>
        <w:rPr>
          <w:rFonts w:hint="eastAsia"/>
          <w:color w:val="000000"/>
          <w:highlight w:val="none"/>
        </w:rPr>
        <w:t>万元，属于</w:t>
      </w:r>
      <w:r>
        <w:rPr>
          <w:rFonts w:hint="eastAsia"/>
          <w:color w:val="000000"/>
          <w:highlight w:val="none"/>
          <w:u w:val="single"/>
        </w:rPr>
        <w:t>（中型企业、小型企业、微型企业）</w:t>
      </w:r>
      <w:r>
        <w:rPr>
          <w:rFonts w:hint="eastAsia"/>
          <w:color w:val="000000"/>
          <w:highlight w:val="none"/>
          <w:u w:val="none"/>
        </w:rPr>
        <w:t>；</w:t>
      </w:r>
    </w:p>
    <w:p w14:paraId="4D7999A2">
      <w:pPr>
        <w:pStyle w:val="212"/>
        <w:widowControl w:val="0"/>
        <w:spacing w:before="0" w:beforeAutospacing="0" w:after="0" w:afterAutospacing="0" w:line="360" w:lineRule="auto"/>
        <w:ind w:firstLine="360"/>
        <w:jc w:val="both"/>
        <w:rPr>
          <w:color w:val="000000"/>
          <w:highlight w:val="none"/>
        </w:rPr>
      </w:pPr>
      <w:r>
        <w:rPr>
          <w:rFonts w:hint="eastAsia"/>
          <w:color w:val="000000"/>
          <w:highlight w:val="none"/>
        </w:rPr>
        <w:t>……</w:t>
      </w:r>
    </w:p>
    <w:p w14:paraId="3AA7BC9A">
      <w:pPr>
        <w:pStyle w:val="212"/>
        <w:widowControl w:val="0"/>
        <w:spacing w:before="0" w:beforeAutospacing="0" w:after="0" w:afterAutospacing="0" w:line="360" w:lineRule="auto"/>
        <w:ind w:firstLine="360"/>
        <w:jc w:val="both"/>
        <w:rPr>
          <w:color w:val="000000"/>
          <w:highlight w:val="none"/>
        </w:rPr>
      </w:pPr>
      <w:r>
        <w:rPr>
          <w:rFonts w:hint="eastAsia"/>
          <w:color w:val="000000"/>
          <w:highlight w:val="none"/>
        </w:rPr>
        <w:t>以上企业，不属于大企业的分支机构，不存在控股股东为大企业的情形，也不存在与大企业的负责人为同一人的情形。</w:t>
      </w:r>
    </w:p>
    <w:p w14:paraId="2A8164D2">
      <w:pPr>
        <w:pStyle w:val="212"/>
        <w:widowControl w:val="0"/>
        <w:spacing w:before="0" w:beforeAutospacing="0" w:after="0" w:afterAutospacing="0" w:line="360" w:lineRule="auto"/>
        <w:ind w:firstLine="360"/>
        <w:jc w:val="both"/>
        <w:rPr>
          <w:color w:val="000000"/>
          <w:highlight w:val="none"/>
        </w:rPr>
      </w:pPr>
      <w:r>
        <w:rPr>
          <w:rFonts w:hint="eastAsia"/>
          <w:color w:val="000000"/>
          <w:highlight w:val="none"/>
        </w:rPr>
        <w:t>本企业对上述声明内容的真实性负责。如有虚假，将依法承担相应责任</w:t>
      </w:r>
    </w:p>
    <w:p w14:paraId="32280D24">
      <w:pPr>
        <w:pStyle w:val="212"/>
        <w:widowControl w:val="0"/>
        <w:spacing w:before="0" w:beforeAutospacing="0" w:after="0" w:afterAutospacing="0" w:line="360" w:lineRule="auto"/>
        <w:ind w:right="720"/>
        <w:jc w:val="both"/>
        <w:rPr>
          <w:color w:val="000000"/>
          <w:highlight w:val="none"/>
        </w:rPr>
      </w:pPr>
      <w:r>
        <w:rPr>
          <w:color w:val="000000"/>
          <w:highlight w:val="none"/>
        </w:rPr>
        <w:t> </w:t>
      </w:r>
    </w:p>
    <w:p w14:paraId="62D82252">
      <w:pPr>
        <w:pStyle w:val="212"/>
        <w:widowControl w:val="0"/>
        <w:spacing w:before="0" w:beforeAutospacing="0" w:after="0" w:afterAutospacing="0" w:line="360" w:lineRule="auto"/>
        <w:ind w:right="180" w:firstLine="360"/>
        <w:jc w:val="right"/>
        <w:rPr>
          <w:color w:val="000000"/>
          <w:highlight w:val="none"/>
        </w:rPr>
      </w:pPr>
      <w:r>
        <w:rPr>
          <w:rFonts w:hint="eastAsia"/>
          <w:color w:val="000000"/>
          <w:highlight w:val="none"/>
        </w:rPr>
        <w:t>企业名称（加盖CA电子公章）：</w:t>
      </w:r>
    </w:p>
    <w:p w14:paraId="1E611849">
      <w:pPr>
        <w:pStyle w:val="212"/>
        <w:widowControl w:val="0"/>
        <w:spacing w:before="0" w:beforeAutospacing="0" w:after="0" w:afterAutospacing="0" w:line="360" w:lineRule="auto"/>
        <w:ind w:right="480" w:firstLine="6410"/>
        <w:jc w:val="both"/>
        <w:rPr>
          <w:color w:val="000000"/>
          <w:highlight w:val="none"/>
        </w:rPr>
      </w:pPr>
      <w:r>
        <w:rPr>
          <w:rFonts w:hint="eastAsia"/>
          <w:color w:val="000000"/>
          <w:highlight w:val="none"/>
        </w:rPr>
        <w:t>日  期：</w:t>
      </w:r>
    </w:p>
    <w:p w14:paraId="71D202D6">
      <w:pPr>
        <w:pStyle w:val="212"/>
        <w:spacing w:beforeAutospacing="0" w:afterAutospacing="0" w:line="0" w:lineRule="atLeast"/>
        <w:ind w:firstLine="240"/>
        <w:jc w:val="both"/>
        <w:rPr>
          <w:color w:val="000000"/>
          <w:highlight w:val="none"/>
        </w:rPr>
      </w:pPr>
      <w:r>
        <w:rPr>
          <w:color w:val="000000"/>
          <w:highlight w:val="none"/>
        </w:rPr>
        <w:t> </w:t>
      </w:r>
    </w:p>
    <w:p w14:paraId="677C65BF">
      <w:pPr>
        <w:pStyle w:val="212"/>
        <w:spacing w:beforeAutospacing="0" w:afterAutospacing="0" w:line="0" w:lineRule="atLeast"/>
        <w:ind w:firstLine="480"/>
        <w:jc w:val="both"/>
        <w:rPr>
          <w:color w:val="000000"/>
          <w:highlight w:val="none"/>
        </w:rPr>
      </w:pPr>
      <w:r>
        <w:rPr>
          <w:rFonts w:hint="eastAsia" w:ascii="宋体" w:hAnsi="宋体" w:eastAsia="宋体" w:cs="宋体"/>
          <w:color w:val="000000"/>
          <w:highlight w:val="none"/>
        </w:rPr>
        <w:t>备注1：从业人员、营业收入、资产总额填报上一年度数据，无上一年度数据的新成立企业可不填报。</w:t>
      </w:r>
    </w:p>
    <w:p w14:paraId="4028A982">
      <w:pPr>
        <w:pStyle w:val="212"/>
        <w:spacing w:beforeAutospacing="0" w:afterAutospacing="0" w:line="480" w:lineRule="exact"/>
        <w:ind w:firstLine="480"/>
        <w:jc w:val="both"/>
        <w:rPr>
          <w:rFonts w:hint="eastAsia" w:ascii="宋体" w:hAnsi="宋体" w:eastAsia="宋体" w:cs="宋体"/>
          <w:color w:val="000000"/>
          <w:highlight w:val="none"/>
        </w:rPr>
      </w:pPr>
      <w:r>
        <w:rPr>
          <w:rFonts w:hint="eastAsia" w:ascii="宋体" w:hAnsi="宋体" w:eastAsia="宋体" w:cs="宋体"/>
          <w:color w:val="000000"/>
          <w:highlight w:val="none"/>
        </w:rPr>
        <w:t>备注2：供应商如不提供此声明函，价格将不做相应扣除</w:t>
      </w:r>
      <w:r>
        <w:rPr>
          <w:rFonts w:hint="eastAsia" w:ascii="宋体" w:hAnsi="宋体" w:eastAsia="宋体" w:cs="宋体"/>
          <w:color w:val="000000"/>
          <w:highlight w:val="none"/>
          <w:lang w:eastAsia="zh-CN"/>
        </w:rPr>
        <w:t>（如项目全面面向中小企业，则资格审查不通过）</w:t>
      </w:r>
      <w:r>
        <w:rPr>
          <w:rFonts w:hint="eastAsia" w:ascii="宋体" w:hAnsi="宋体" w:eastAsia="宋体" w:cs="宋体"/>
          <w:color w:val="000000"/>
          <w:highlight w:val="none"/>
        </w:rPr>
        <w:t>。</w:t>
      </w:r>
    </w:p>
    <w:p w14:paraId="0AEF06C8">
      <w:pPr>
        <w:pStyle w:val="212"/>
        <w:spacing w:beforeAutospacing="0" w:afterAutospacing="0" w:line="480" w:lineRule="exact"/>
        <w:ind w:firstLine="480"/>
        <w:jc w:val="both"/>
        <w:rPr>
          <w:color w:val="000000"/>
        </w:rPr>
      </w:pPr>
      <w:r>
        <w:rPr>
          <w:rFonts w:hint="eastAsia" w:cs="仿宋"/>
          <w:b/>
          <w:highlight w:val="white"/>
          <w:lang w:bidi="ar"/>
        </w:rPr>
        <w:t>《中小企业声明函》中的“标的名称”是指采购清单中每项产品名称。</w:t>
      </w:r>
    </w:p>
    <w:p w14:paraId="112E7EC1">
      <w:pPr>
        <w:pStyle w:val="212"/>
        <w:spacing w:beforeAutospacing="0" w:afterAutospacing="0" w:line="0" w:lineRule="atLeast"/>
        <w:ind w:firstLine="480"/>
        <w:jc w:val="both"/>
        <w:rPr>
          <w:color w:val="000000"/>
          <w:highlight w:val="none"/>
        </w:rPr>
      </w:pPr>
    </w:p>
    <w:p w14:paraId="116C6DBC">
      <w:pPr>
        <w:pStyle w:val="212"/>
        <w:widowControl w:val="0"/>
        <w:spacing w:before="0" w:beforeAutospacing="0" w:after="0" w:afterAutospacing="0" w:line="0" w:lineRule="atLeast"/>
        <w:jc w:val="center"/>
        <w:rPr>
          <w:color w:val="000000"/>
          <w:highlight w:val="none"/>
          <w:shd w:val="clear" w:color="auto" w:fill="auto"/>
        </w:rPr>
      </w:pPr>
    </w:p>
    <w:p w14:paraId="1BEF997A">
      <w:pPr>
        <w:pStyle w:val="212"/>
        <w:widowControl w:val="0"/>
        <w:spacing w:before="0" w:beforeAutospacing="0" w:after="0" w:afterAutospacing="0" w:line="0" w:lineRule="atLeast"/>
        <w:jc w:val="center"/>
        <w:rPr>
          <w:color w:val="000000"/>
          <w:highlight w:val="none"/>
          <w:shd w:val="clear" w:color="auto" w:fill="auto"/>
        </w:rPr>
      </w:pPr>
      <w:r>
        <w:rPr>
          <w:color w:val="000000"/>
          <w:highlight w:val="none"/>
          <w:shd w:val="clear" w:color="auto" w:fill="auto"/>
        </w:rPr>
        <w:t> </w:t>
      </w:r>
    </w:p>
    <w:p w14:paraId="75BFBDA8">
      <w:pPr>
        <w:pStyle w:val="212"/>
        <w:widowControl w:val="0"/>
        <w:spacing w:before="0" w:beforeAutospacing="0" w:after="0" w:afterAutospacing="0" w:line="0" w:lineRule="atLeast"/>
        <w:jc w:val="both"/>
        <w:rPr>
          <w:color w:val="000000"/>
          <w:highlight w:val="none"/>
          <w:shd w:val="clear" w:color="auto" w:fill="auto"/>
        </w:rPr>
      </w:pPr>
      <w:r>
        <w:rPr>
          <w:color w:val="000000"/>
          <w:highlight w:val="none"/>
          <w:shd w:val="clear" w:color="auto" w:fill="auto"/>
        </w:rPr>
        <w:t> </w:t>
      </w:r>
    </w:p>
    <w:p w14:paraId="32B4E9DA">
      <w:pPr>
        <w:pStyle w:val="212"/>
        <w:widowControl w:val="0"/>
        <w:spacing w:before="0" w:beforeAutospacing="0" w:after="0" w:afterAutospacing="0" w:line="0" w:lineRule="atLeast"/>
        <w:jc w:val="center"/>
        <w:rPr>
          <w:color w:val="000000"/>
          <w:highlight w:val="none"/>
          <w:shd w:val="clear" w:color="auto" w:fill="auto"/>
        </w:rPr>
      </w:pPr>
      <w:r>
        <w:rPr>
          <w:rFonts w:hint="eastAsia" w:ascii="黑体" w:eastAsia="黑体" w:cs="黑体"/>
          <w:b/>
          <w:color w:val="000000"/>
          <w:sz w:val="32"/>
          <w:szCs w:val="32"/>
          <w:highlight w:val="none"/>
          <w:shd w:val="clear" w:color="auto" w:fill="auto"/>
        </w:rPr>
        <w:br w:type="page" w:clear="all"/>
      </w:r>
      <w:r>
        <w:rPr>
          <w:rFonts w:hint="eastAsia" w:ascii="黑体" w:eastAsia="黑体" w:cs="黑体"/>
          <w:b/>
          <w:color w:val="000000"/>
          <w:sz w:val="32"/>
          <w:szCs w:val="32"/>
          <w:highlight w:val="none"/>
          <w:shd w:val="clear" w:color="auto" w:fill="auto"/>
        </w:rPr>
        <w:t> 十、残疾人福利性单位声明函</w:t>
      </w:r>
    </w:p>
    <w:p w14:paraId="220C5048">
      <w:pPr>
        <w:pStyle w:val="212"/>
        <w:widowControl w:val="0"/>
        <w:spacing w:before="0" w:beforeAutospacing="0" w:after="0" w:afterAutospacing="0" w:line="0" w:lineRule="atLeast"/>
        <w:ind w:firstLine="480"/>
        <w:jc w:val="both"/>
        <w:rPr>
          <w:color w:val="000000"/>
          <w:highlight w:val="none"/>
          <w:shd w:val="clear" w:color="auto" w:fill="auto"/>
        </w:rPr>
      </w:pPr>
      <w:r>
        <w:rPr>
          <w:rFonts w:hint="eastAsia"/>
          <w:color w:val="000000"/>
          <w:highlight w:val="none"/>
          <w:shd w:val="clear" w:color="auto" w:fill="auto"/>
        </w:rPr>
        <w:t>本单位郑重声明，根据《财政部 民政部 中国残疾人联合会关于促进残疾人就业政府采购政策的通知》（财库</w:t>
      </w:r>
      <w:r>
        <w:rPr>
          <w:rFonts w:hint="eastAsia"/>
          <w:color w:val="000000"/>
          <w:highlight w:val="none"/>
          <w:shd w:val="clear" w:color="auto" w:fill="auto"/>
          <w:lang w:eastAsia="zh-CN"/>
        </w:rPr>
        <w:t>〔2017〕141号</w:t>
      </w:r>
      <w:r>
        <w:rPr>
          <w:rFonts w:hint="eastAsia"/>
          <w:color w:val="000000"/>
          <w:highlight w:val="none"/>
          <w:shd w:val="clear" w:color="auto" w:fill="auto"/>
        </w:rPr>
        <w:t>）的规定，本单位为符合条件的残疾人福利性单位，且本单位参加______单位的</w:t>
      </w:r>
      <w:r>
        <w:rPr>
          <w:rFonts w:hint="eastAsia" w:ascii="仿宋" w:hAnsi="仿宋" w:eastAsia="仿宋" w:cs="仿宋"/>
          <w:i w:val="0"/>
          <w:iCs w:val="0"/>
          <w:caps w:val="0"/>
          <w:color w:val="333333"/>
          <w:spacing w:val="0"/>
          <w:sz w:val="28"/>
          <w:szCs w:val="28"/>
          <w:highlight w:val="none"/>
          <w:shd w:val="clear" w:color="auto" w:fill="FFFFFF"/>
          <w:lang w:val="en-US" w:eastAsia="zh-CN"/>
        </w:rPr>
        <w:t>询价</w:t>
      </w:r>
      <w:r>
        <w:rPr>
          <w:rFonts w:hint="eastAsia"/>
          <w:color w:val="000000"/>
          <w:highlight w:val="none"/>
          <w:shd w:val="clear" w:color="auto" w:fill="auto"/>
        </w:rPr>
        <w:t>文件编号为______的</w:t>
      </w:r>
      <w:r>
        <w:rPr>
          <w:rFonts w:hint="eastAsia"/>
          <w:color w:val="000000"/>
          <w:highlight w:val="none"/>
          <w:u w:val="single"/>
          <w:shd w:val="clear" w:color="auto" w:fill="auto"/>
        </w:rPr>
        <w:t xml:space="preserve">       </w:t>
      </w:r>
      <w:r>
        <w:rPr>
          <w:rFonts w:hint="eastAsia"/>
          <w:color w:val="000000"/>
          <w:highlight w:val="none"/>
          <w:shd w:val="clear" w:color="auto" w:fill="auto"/>
        </w:rPr>
        <w:t>项目（分包号：**）采购活动提供本单位制造的货物，或者提供其他残疾人福利性单位制造的货物（不包括使用非残疾人福利性单位注册商标的货物）。</w:t>
      </w:r>
    </w:p>
    <w:p w14:paraId="12E09382">
      <w:pPr>
        <w:pStyle w:val="212"/>
        <w:widowControl w:val="0"/>
        <w:spacing w:before="0" w:beforeAutospacing="0" w:after="0" w:afterAutospacing="0" w:line="0" w:lineRule="atLeast"/>
        <w:ind w:firstLine="480"/>
        <w:jc w:val="both"/>
        <w:rPr>
          <w:color w:val="000000"/>
          <w:highlight w:val="none"/>
          <w:shd w:val="clear" w:color="auto" w:fill="auto"/>
        </w:rPr>
      </w:pPr>
      <w:r>
        <w:rPr>
          <w:rFonts w:hint="eastAsia"/>
          <w:color w:val="000000"/>
          <w:highlight w:val="none"/>
          <w:shd w:val="clear" w:color="auto" w:fill="auto"/>
        </w:rPr>
        <w:t>本单位对上述声明的真实性负责。如有虚假，将依法承担相应责任。</w:t>
      </w:r>
    </w:p>
    <w:p w14:paraId="76AF03DB">
      <w:pPr>
        <w:pStyle w:val="212"/>
        <w:widowControl w:val="0"/>
        <w:spacing w:before="0" w:beforeAutospacing="0" w:after="0" w:afterAutospacing="0" w:line="0" w:lineRule="atLeast"/>
        <w:ind w:firstLine="480"/>
        <w:jc w:val="both"/>
        <w:rPr>
          <w:color w:val="000000"/>
          <w:highlight w:val="none"/>
          <w:shd w:val="clear" w:color="auto" w:fill="auto"/>
        </w:rPr>
      </w:pPr>
      <w:r>
        <w:rPr>
          <w:color w:val="000000"/>
          <w:highlight w:val="none"/>
          <w:shd w:val="clear" w:color="auto" w:fill="auto"/>
        </w:rPr>
        <w:t> </w:t>
      </w:r>
    </w:p>
    <w:p w14:paraId="4FF21A41">
      <w:pPr>
        <w:pStyle w:val="212"/>
        <w:widowControl w:val="0"/>
        <w:spacing w:before="0" w:beforeAutospacing="0" w:after="0" w:afterAutospacing="0" w:line="0" w:lineRule="atLeast"/>
        <w:ind w:firstLine="480"/>
        <w:jc w:val="both"/>
        <w:rPr>
          <w:color w:val="000000"/>
          <w:highlight w:val="none"/>
          <w:shd w:val="clear" w:color="auto" w:fill="auto"/>
        </w:rPr>
      </w:pPr>
      <w:r>
        <w:rPr>
          <w:rFonts w:hint="eastAsia"/>
          <w:color w:val="000000"/>
          <w:highlight w:val="none"/>
          <w:shd w:val="clear" w:color="auto" w:fill="auto"/>
        </w:rPr>
        <w:t>备注：1、供应商如不提供此声明函，价格将不做相应扣除</w:t>
      </w:r>
      <w:r>
        <w:rPr>
          <w:rFonts w:hint="eastAsia" w:ascii="宋体" w:hAnsi="宋体" w:eastAsia="宋体" w:cs="宋体"/>
          <w:color w:val="000000"/>
          <w:highlight w:val="none"/>
          <w:shd w:val="clear" w:color="auto" w:fill="auto"/>
          <w:lang w:eastAsia="zh-CN"/>
        </w:rPr>
        <w:t>（如项目全面面向中小企业，则资格审查不通过）</w:t>
      </w:r>
      <w:r>
        <w:rPr>
          <w:rFonts w:hint="eastAsia"/>
          <w:color w:val="000000"/>
          <w:highlight w:val="none"/>
          <w:shd w:val="clear" w:color="auto" w:fill="auto"/>
        </w:rPr>
        <w:t>。2、成交供应商为残疾人福利单位的，此声明函将随成交结果同时公告，接受社会监督</w:t>
      </w:r>
    </w:p>
    <w:p w14:paraId="2BDD08CC">
      <w:pPr>
        <w:pStyle w:val="212"/>
        <w:widowControl w:val="0"/>
        <w:spacing w:before="0" w:beforeAutospacing="0" w:after="0" w:afterAutospacing="0" w:line="0" w:lineRule="atLeast"/>
        <w:ind w:firstLine="624"/>
        <w:jc w:val="both"/>
        <w:rPr>
          <w:color w:val="000000"/>
          <w:highlight w:val="none"/>
          <w:shd w:val="clear" w:color="auto" w:fill="auto"/>
        </w:rPr>
      </w:pPr>
      <w:r>
        <w:rPr>
          <w:color w:val="000000"/>
          <w:highlight w:val="none"/>
          <w:shd w:val="clear" w:color="auto" w:fill="auto"/>
        </w:rPr>
        <w:t> </w:t>
      </w:r>
    </w:p>
    <w:p w14:paraId="172CC27C">
      <w:pPr>
        <w:pStyle w:val="212"/>
        <w:widowControl w:val="0"/>
        <w:tabs>
          <w:tab w:val="left" w:pos="4864"/>
        </w:tabs>
        <w:spacing w:before="0" w:beforeAutospacing="0" w:after="0" w:afterAutospacing="0" w:line="0" w:lineRule="atLeast"/>
        <w:ind w:right="1560" w:firstLine="624"/>
        <w:jc w:val="center"/>
        <w:rPr>
          <w:color w:val="000000"/>
          <w:highlight w:val="none"/>
          <w:shd w:val="clear" w:color="auto" w:fill="auto"/>
        </w:rPr>
      </w:pPr>
      <w:r>
        <w:rPr>
          <w:rFonts w:ascii="仿宋_GB2312" w:eastAsia="仿宋_GB2312" w:cs="仿宋_GB2312"/>
          <w:color w:val="000000"/>
          <w:sz w:val="30"/>
          <w:szCs w:val="30"/>
          <w:highlight w:val="none"/>
          <w:shd w:val="clear" w:color="auto" w:fill="auto"/>
        </w:rPr>
        <w:t xml:space="preserve">             </w:t>
      </w:r>
      <w:r>
        <w:rPr>
          <w:rFonts w:hint="eastAsia"/>
          <w:color w:val="000000"/>
          <w:highlight w:val="none"/>
          <w:shd w:val="clear" w:color="auto" w:fill="auto"/>
        </w:rPr>
        <w:t>供应商全称（加盖CA电子公章）：</w:t>
      </w:r>
    </w:p>
    <w:p w14:paraId="34315E05">
      <w:pPr>
        <w:pStyle w:val="212"/>
        <w:widowControl w:val="0"/>
        <w:tabs>
          <w:tab w:val="left" w:pos="4864"/>
        </w:tabs>
        <w:spacing w:before="0" w:beforeAutospacing="0" w:after="0" w:afterAutospacing="0" w:line="0" w:lineRule="atLeast"/>
        <w:ind w:right="1560" w:firstLine="480"/>
        <w:jc w:val="center"/>
        <w:rPr>
          <w:color w:val="000000"/>
          <w:highlight w:val="none"/>
          <w:shd w:val="clear" w:color="auto" w:fill="auto"/>
        </w:rPr>
      </w:pPr>
      <w:r>
        <w:rPr>
          <w:rFonts w:hint="eastAsia"/>
          <w:color w:val="000000"/>
          <w:highlight w:val="none"/>
          <w:shd w:val="clear" w:color="auto" w:fill="auto"/>
        </w:rPr>
        <w:t>        日  期：</w:t>
      </w:r>
    </w:p>
    <w:p w14:paraId="68C5EEFC">
      <w:pPr>
        <w:pStyle w:val="212"/>
        <w:widowControl w:val="0"/>
        <w:spacing w:before="0" w:beforeAutospacing="0" w:after="0" w:afterAutospacing="0" w:line="0" w:lineRule="atLeast"/>
        <w:jc w:val="center"/>
        <w:rPr>
          <w:color w:val="000000"/>
          <w:highlight w:val="none"/>
          <w:shd w:val="clear" w:color="auto" w:fill="auto"/>
        </w:rPr>
      </w:pPr>
      <w:r>
        <w:rPr>
          <w:color w:val="000000"/>
          <w:highlight w:val="none"/>
          <w:shd w:val="clear" w:color="auto" w:fill="auto"/>
        </w:rPr>
        <w:t> </w:t>
      </w:r>
    </w:p>
    <w:p w14:paraId="68D7975B">
      <w:pPr>
        <w:pStyle w:val="212"/>
        <w:widowControl w:val="0"/>
        <w:spacing w:before="0" w:beforeAutospacing="0" w:after="0" w:afterAutospacing="0" w:line="0" w:lineRule="atLeast"/>
        <w:jc w:val="center"/>
        <w:rPr>
          <w:color w:val="000000"/>
          <w:highlight w:val="none"/>
          <w:shd w:val="clear" w:color="auto" w:fill="auto"/>
        </w:rPr>
      </w:pPr>
      <w:r>
        <w:rPr>
          <w:color w:val="000000"/>
          <w:highlight w:val="none"/>
          <w:shd w:val="clear" w:color="auto" w:fill="auto"/>
        </w:rPr>
        <w:t> </w:t>
      </w:r>
    </w:p>
    <w:p w14:paraId="132409AC">
      <w:pPr>
        <w:pStyle w:val="212"/>
        <w:widowControl w:val="0"/>
        <w:spacing w:before="0" w:beforeAutospacing="0" w:after="0" w:afterAutospacing="0" w:line="0" w:lineRule="atLeast"/>
        <w:jc w:val="center"/>
        <w:rPr>
          <w:color w:val="000000"/>
          <w:highlight w:val="none"/>
          <w:shd w:val="clear" w:color="auto" w:fill="auto"/>
        </w:rPr>
      </w:pPr>
      <w:r>
        <w:rPr>
          <w:color w:val="000000"/>
          <w:highlight w:val="none"/>
          <w:shd w:val="clear" w:color="auto" w:fill="auto"/>
        </w:rPr>
        <w:t> </w:t>
      </w:r>
    </w:p>
    <w:p w14:paraId="1B8D7B34">
      <w:pPr>
        <w:pStyle w:val="212"/>
        <w:widowControl w:val="0"/>
        <w:spacing w:before="0" w:beforeAutospacing="0" w:after="0" w:afterAutospacing="0" w:line="0" w:lineRule="atLeast"/>
        <w:jc w:val="center"/>
        <w:rPr>
          <w:color w:val="000000"/>
          <w:highlight w:val="none"/>
          <w:shd w:val="clear" w:color="auto" w:fill="auto"/>
        </w:rPr>
      </w:pPr>
      <w:r>
        <w:rPr>
          <w:color w:val="000000"/>
          <w:highlight w:val="none"/>
          <w:shd w:val="clear" w:color="auto" w:fill="auto"/>
        </w:rPr>
        <w:t> </w:t>
      </w:r>
    </w:p>
    <w:p w14:paraId="33A9FCFA">
      <w:pPr>
        <w:pStyle w:val="212"/>
        <w:widowControl w:val="0"/>
        <w:spacing w:before="0" w:beforeAutospacing="0" w:after="0" w:afterAutospacing="0" w:line="0" w:lineRule="atLeast"/>
        <w:jc w:val="center"/>
        <w:rPr>
          <w:color w:val="000000"/>
          <w:highlight w:val="none"/>
          <w:shd w:val="clear" w:color="auto" w:fill="auto"/>
        </w:rPr>
      </w:pPr>
      <w:r>
        <w:rPr>
          <w:color w:val="000000"/>
          <w:highlight w:val="none"/>
          <w:shd w:val="clear" w:color="auto" w:fill="auto"/>
        </w:rPr>
        <w:t> </w:t>
      </w:r>
    </w:p>
    <w:p w14:paraId="17C88B4B">
      <w:pPr>
        <w:pStyle w:val="212"/>
        <w:widowControl w:val="0"/>
        <w:spacing w:before="0" w:beforeAutospacing="0" w:after="0" w:afterAutospacing="0" w:line="0" w:lineRule="atLeast"/>
        <w:jc w:val="center"/>
        <w:rPr>
          <w:color w:val="000000"/>
          <w:highlight w:val="none"/>
          <w:shd w:val="clear" w:color="auto" w:fill="auto"/>
        </w:rPr>
      </w:pPr>
      <w:r>
        <w:rPr>
          <w:color w:val="000000"/>
          <w:highlight w:val="none"/>
          <w:shd w:val="clear" w:color="auto" w:fill="auto"/>
        </w:rPr>
        <w:t> </w:t>
      </w:r>
    </w:p>
    <w:p w14:paraId="0776C45D">
      <w:pPr>
        <w:pStyle w:val="212"/>
        <w:widowControl w:val="0"/>
        <w:spacing w:before="0" w:beforeAutospacing="0" w:after="0" w:afterAutospacing="0" w:line="0" w:lineRule="atLeast"/>
        <w:jc w:val="center"/>
        <w:rPr>
          <w:color w:val="000000"/>
          <w:highlight w:val="none"/>
          <w:shd w:val="clear" w:color="auto" w:fill="auto"/>
        </w:rPr>
      </w:pPr>
      <w:r>
        <w:rPr>
          <w:color w:val="000000"/>
          <w:highlight w:val="none"/>
          <w:shd w:val="clear" w:color="auto" w:fill="auto"/>
        </w:rPr>
        <w:t> </w:t>
      </w:r>
    </w:p>
    <w:p w14:paraId="03094C4E">
      <w:pPr>
        <w:pStyle w:val="212"/>
        <w:widowControl w:val="0"/>
        <w:spacing w:before="0" w:beforeAutospacing="0" w:after="0" w:afterAutospacing="0" w:line="0" w:lineRule="atLeast"/>
        <w:jc w:val="center"/>
        <w:rPr>
          <w:color w:val="000000"/>
          <w:highlight w:val="none"/>
          <w:shd w:val="clear" w:color="auto" w:fill="auto"/>
        </w:rPr>
      </w:pPr>
      <w:r>
        <w:rPr>
          <w:color w:val="000000"/>
          <w:highlight w:val="none"/>
          <w:shd w:val="clear" w:color="auto" w:fill="auto"/>
        </w:rPr>
        <w:t> </w:t>
      </w:r>
    </w:p>
    <w:p w14:paraId="607CD05A">
      <w:pPr>
        <w:pStyle w:val="212"/>
        <w:widowControl w:val="0"/>
        <w:spacing w:before="0" w:beforeAutospacing="0" w:after="0" w:afterAutospacing="0" w:line="0" w:lineRule="atLeast"/>
        <w:jc w:val="center"/>
        <w:rPr>
          <w:color w:val="000000"/>
          <w:highlight w:val="none"/>
          <w:shd w:val="clear" w:color="auto" w:fill="auto"/>
        </w:rPr>
      </w:pPr>
      <w:r>
        <w:rPr>
          <w:color w:val="000000"/>
          <w:highlight w:val="none"/>
          <w:shd w:val="clear" w:color="auto" w:fill="auto"/>
        </w:rPr>
        <w:t> </w:t>
      </w:r>
    </w:p>
    <w:p w14:paraId="30FC327D">
      <w:pPr>
        <w:pStyle w:val="212"/>
        <w:widowControl w:val="0"/>
        <w:spacing w:before="0" w:beforeAutospacing="0" w:after="0" w:afterAutospacing="0" w:line="0" w:lineRule="atLeast"/>
        <w:jc w:val="center"/>
        <w:rPr>
          <w:color w:val="000000"/>
          <w:highlight w:val="none"/>
          <w:shd w:val="clear" w:color="auto" w:fill="auto"/>
        </w:rPr>
      </w:pPr>
      <w:r>
        <w:rPr>
          <w:color w:val="000000"/>
          <w:highlight w:val="none"/>
          <w:shd w:val="clear" w:color="auto" w:fill="auto"/>
        </w:rPr>
        <w:t> </w:t>
      </w:r>
    </w:p>
    <w:p w14:paraId="6A155E38">
      <w:pPr>
        <w:pStyle w:val="212"/>
        <w:widowControl w:val="0"/>
        <w:spacing w:before="0" w:beforeAutospacing="0" w:after="0" w:afterAutospacing="0" w:line="0" w:lineRule="atLeast"/>
        <w:jc w:val="center"/>
        <w:rPr>
          <w:color w:val="000000"/>
          <w:highlight w:val="none"/>
          <w:shd w:val="clear" w:color="auto" w:fill="auto"/>
        </w:rPr>
      </w:pPr>
      <w:r>
        <w:rPr>
          <w:color w:val="000000"/>
          <w:highlight w:val="none"/>
          <w:shd w:val="clear" w:color="auto" w:fill="auto"/>
        </w:rPr>
        <w:t> </w:t>
      </w:r>
    </w:p>
    <w:p w14:paraId="07D774D0">
      <w:pPr>
        <w:pStyle w:val="29"/>
        <w:pageBreakBefore w:val="0"/>
        <w:widowControl w:val="0"/>
        <w:numPr>
          <w:ilvl w:val="0"/>
          <w:numId w:val="0"/>
        </w:numPr>
        <w:spacing w:before="0" w:beforeAutospacing="0" w:after="0" w:afterAutospacing="0" w:line="420" w:lineRule="exact"/>
        <w:jc w:val="center"/>
        <w:rPr>
          <w:rFonts w:hint="eastAsia" w:ascii="黑体" w:eastAsia="黑体" w:cs="黑体"/>
          <w:b/>
          <w:sz w:val="32"/>
          <w:szCs w:val="32"/>
        </w:rPr>
      </w:pPr>
      <w:r>
        <w:rPr>
          <w:rFonts w:hint="eastAsia" w:ascii="黑体" w:eastAsia="黑体" w:cs="黑体"/>
          <w:b/>
          <w:color w:val="000000"/>
          <w:sz w:val="32"/>
          <w:szCs w:val="32"/>
          <w:highlight w:val="none"/>
          <w:shd w:val="clear" w:color="auto" w:fill="auto"/>
        </w:rPr>
        <w:br w:type="page" w:clear="all"/>
      </w:r>
      <w:r>
        <w:rPr>
          <w:rFonts w:hint="eastAsia" w:ascii="黑体" w:eastAsia="黑体" w:cs="黑体"/>
          <w:b/>
          <w:color w:val="000000"/>
          <w:sz w:val="32"/>
          <w:szCs w:val="32"/>
        </w:rPr>
        <w:t>十一、</w:t>
      </w:r>
      <w:r>
        <w:rPr>
          <w:rFonts w:hint="eastAsia" w:ascii="黑体" w:eastAsia="黑体" w:cs="黑体"/>
          <w:b/>
          <w:sz w:val="32"/>
          <w:szCs w:val="32"/>
        </w:rPr>
        <w:t>分项报价表（货物类）</w:t>
      </w:r>
    </w:p>
    <w:p w14:paraId="2034E06E">
      <w:pPr>
        <w:pageBreakBefore w:val="0"/>
        <w:pBdr>
          <w:top w:val="none" w:color="000000" w:sz="0" w:space="0"/>
          <w:left w:val="none" w:color="000000" w:sz="0" w:space="0"/>
          <w:bottom w:val="none" w:color="000000" w:sz="0" w:space="0"/>
          <w:right w:val="none" w:color="000000" w:sz="0" w:space="0"/>
        </w:pBdr>
        <w:spacing w:line="420" w:lineRule="exact"/>
        <w:ind w:firstLine="5048"/>
        <w:rPr>
          <w:rFonts w:ascii="黑体" w:hAnsi="黑体" w:eastAsia="黑体" w:cs="黑体"/>
          <w:b/>
          <w:sz w:val="28"/>
        </w:rPr>
      </w:pPr>
    </w:p>
    <w:p w14:paraId="0F28E6CD">
      <w:pPr>
        <w:pageBreakBefore w:val="0"/>
        <w:pBdr>
          <w:top w:val="none" w:color="000000" w:sz="0" w:space="0"/>
          <w:left w:val="none" w:color="000000" w:sz="0" w:space="0"/>
          <w:bottom w:val="none" w:color="000000" w:sz="0" w:space="0"/>
          <w:right w:val="none" w:color="000000" w:sz="0" w:space="0"/>
        </w:pBdr>
        <w:spacing w:line="420" w:lineRule="exact"/>
        <w:ind w:firstLine="5622" w:firstLineChars="2000"/>
        <w:rPr>
          <w:sz w:val="24"/>
        </w:rPr>
      </w:pPr>
      <w:r>
        <w:rPr>
          <w:rFonts w:ascii="黑体" w:hAnsi="黑体" w:eastAsia="黑体" w:cs="黑体"/>
          <w:b/>
          <w:sz w:val="28"/>
        </w:rPr>
        <w:t>（货币单位：人民币元）</w:t>
      </w:r>
    </w:p>
    <w:tbl>
      <w:tblPr>
        <w:tblStyle w:val="31"/>
        <w:tblW w:w="9647" w:type="dxa"/>
        <w:jc w:val="center"/>
        <w:tblLayout w:type="fixed"/>
        <w:tblCellMar>
          <w:top w:w="0" w:type="dxa"/>
          <w:left w:w="108" w:type="dxa"/>
          <w:bottom w:w="0" w:type="dxa"/>
          <w:right w:w="108" w:type="dxa"/>
        </w:tblCellMar>
      </w:tblPr>
      <w:tblGrid>
        <w:gridCol w:w="698"/>
        <w:gridCol w:w="1196"/>
        <w:gridCol w:w="638"/>
        <w:gridCol w:w="687"/>
        <w:gridCol w:w="1212"/>
        <w:gridCol w:w="1600"/>
        <w:gridCol w:w="1912"/>
        <w:gridCol w:w="813"/>
        <w:gridCol w:w="891"/>
      </w:tblGrid>
      <w:tr w14:paraId="315BF260">
        <w:tblPrEx>
          <w:tblCellMar>
            <w:top w:w="0" w:type="dxa"/>
            <w:left w:w="108" w:type="dxa"/>
            <w:bottom w:w="0" w:type="dxa"/>
            <w:right w:w="108" w:type="dxa"/>
          </w:tblCellMar>
        </w:tblPrEx>
        <w:trPr>
          <w:trHeight w:val="625" w:hRule="atLeast"/>
          <w:jc w:val="center"/>
        </w:trPr>
        <w:tc>
          <w:tcPr>
            <w:tcW w:w="9647" w:type="dxa"/>
            <w:gridSpan w:val="9"/>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7037F0A">
            <w:pPr>
              <w:pStyle w:val="29"/>
              <w:keepNext w:val="0"/>
              <w:keepLines w:val="0"/>
              <w:widowControl/>
              <w:suppressLineNumbers w:val="0"/>
              <w:spacing w:before="0" w:beforeAutospacing="0" w:after="0" w:afterAutospacing="0"/>
              <w:ind w:left="0" w:right="0" w:firstLine="0"/>
              <w:rPr>
                <w:rFonts w:hint="eastAsia" w:ascii="宋体" w:hAnsi="宋体" w:cs="宋体"/>
                <w:bCs/>
                <w:color w:val="000000"/>
                <w:sz w:val="24"/>
                <w:szCs w:val="24"/>
                <w:lang w:bidi="ar"/>
              </w:rPr>
            </w:pPr>
            <w:r>
              <w:rPr>
                <w:rFonts w:hint="eastAsia" w:ascii="宋体" w:hAnsi="宋体" w:cs="宋体"/>
                <w:bCs/>
                <w:color w:val="000000"/>
                <w:sz w:val="24"/>
                <w:szCs w:val="24"/>
                <w:lang w:bidi="ar"/>
              </w:rPr>
              <w:t>项目名称：</w:t>
            </w:r>
            <w:r>
              <w:rPr>
                <w:rFonts w:hint="eastAsia" w:cs="宋体"/>
                <w:bCs/>
                <w:color w:val="000000"/>
                <w:sz w:val="24"/>
                <w:szCs w:val="24"/>
                <w:lang w:eastAsia="zh-CN" w:bidi="ar"/>
              </w:rPr>
              <w:t>阜宁县殡仪服务中心殡仪专用车辆采购项目（二次）</w:t>
            </w:r>
          </w:p>
        </w:tc>
      </w:tr>
      <w:tr w14:paraId="3B5B810A">
        <w:tblPrEx>
          <w:tblCellMar>
            <w:top w:w="0" w:type="dxa"/>
            <w:left w:w="108" w:type="dxa"/>
            <w:bottom w:w="0" w:type="dxa"/>
            <w:right w:w="108" w:type="dxa"/>
          </w:tblCellMar>
        </w:tblPrEx>
        <w:trPr>
          <w:trHeight w:val="784" w:hRule="atLeast"/>
          <w:jc w:val="center"/>
        </w:trPr>
        <w:tc>
          <w:tcPr>
            <w:tcW w:w="698"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3EAB09E">
            <w:pPr>
              <w:widowControl/>
              <w:jc w:val="center"/>
              <w:rPr>
                <w:rFonts w:hint="eastAsia" w:ascii="宋体" w:hAnsi="宋体" w:cs="宋体"/>
                <w:b/>
                <w:bCs w:val="0"/>
                <w:color w:val="000000"/>
                <w:sz w:val="24"/>
                <w:szCs w:val="24"/>
              </w:rPr>
            </w:pPr>
            <w:r>
              <w:rPr>
                <w:rFonts w:hint="eastAsia" w:ascii="宋体" w:hAnsi="宋体" w:cs="宋体"/>
                <w:b/>
                <w:bCs w:val="0"/>
                <w:color w:val="000000"/>
                <w:sz w:val="24"/>
                <w:szCs w:val="24"/>
              </w:rPr>
              <w:t>序号</w:t>
            </w:r>
          </w:p>
        </w:tc>
        <w:tc>
          <w:tcPr>
            <w:tcW w:w="1196"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01A501C">
            <w:pPr>
              <w:widowControl/>
              <w:jc w:val="center"/>
              <w:rPr>
                <w:rFonts w:hint="eastAsia" w:ascii="宋体" w:hAnsi="宋体" w:cs="宋体"/>
                <w:b/>
                <w:bCs w:val="0"/>
                <w:color w:val="000000"/>
                <w:sz w:val="24"/>
                <w:szCs w:val="24"/>
              </w:rPr>
            </w:pPr>
            <w:r>
              <w:rPr>
                <w:rFonts w:hint="eastAsia" w:ascii="宋体" w:hAnsi="宋体" w:cs="宋体"/>
                <w:b/>
                <w:bCs w:val="0"/>
                <w:color w:val="000000"/>
                <w:sz w:val="24"/>
                <w:szCs w:val="24"/>
                <w:lang w:bidi="ar"/>
              </w:rPr>
              <w:t>产品名称</w:t>
            </w:r>
          </w:p>
        </w:tc>
        <w:tc>
          <w:tcPr>
            <w:tcW w:w="638"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793EEFB">
            <w:pPr>
              <w:widowControl/>
              <w:jc w:val="center"/>
              <w:rPr>
                <w:rFonts w:hint="eastAsia" w:ascii="宋体" w:hAnsi="宋体" w:cs="宋体"/>
                <w:b/>
                <w:bCs w:val="0"/>
                <w:color w:val="000000"/>
                <w:sz w:val="24"/>
                <w:szCs w:val="24"/>
              </w:rPr>
            </w:pPr>
            <w:r>
              <w:rPr>
                <w:rFonts w:hint="eastAsia" w:ascii="宋体" w:hAnsi="宋体" w:cs="宋体"/>
                <w:b/>
                <w:bCs w:val="0"/>
                <w:color w:val="000000"/>
                <w:sz w:val="24"/>
                <w:szCs w:val="24"/>
                <w:lang w:bidi="ar"/>
              </w:rPr>
              <w:t>数量</w:t>
            </w:r>
          </w:p>
        </w:tc>
        <w:tc>
          <w:tcPr>
            <w:tcW w:w="687"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71A24B1">
            <w:pPr>
              <w:widowControl/>
              <w:jc w:val="center"/>
              <w:rPr>
                <w:rFonts w:hint="eastAsia" w:ascii="宋体" w:hAnsi="宋体" w:cs="宋体"/>
                <w:b/>
                <w:bCs w:val="0"/>
                <w:color w:val="000000"/>
                <w:sz w:val="24"/>
                <w:szCs w:val="24"/>
              </w:rPr>
            </w:pPr>
            <w:r>
              <w:rPr>
                <w:rFonts w:hint="eastAsia" w:ascii="宋体" w:hAnsi="宋体" w:cs="宋体"/>
                <w:b/>
                <w:bCs w:val="0"/>
                <w:color w:val="000000"/>
                <w:sz w:val="24"/>
                <w:szCs w:val="24"/>
                <w:lang w:bidi="ar"/>
              </w:rPr>
              <w:t>单位</w:t>
            </w:r>
          </w:p>
        </w:tc>
        <w:tc>
          <w:tcPr>
            <w:tcW w:w="1212"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ADC95AC">
            <w:pPr>
              <w:widowControl/>
              <w:jc w:val="center"/>
              <w:rPr>
                <w:rFonts w:hint="eastAsia" w:ascii="宋体" w:hAnsi="宋体" w:cs="宋体"/>
                <w:b/>
                <w:bCs w:val="0"/>
                <w:color w:val="000000"/>
                <w:sz w:val="24"/>
                <w:szCs w:val="24"/>
              </w:rPr>
            </w:pPr>
            <w:r>
              <w:rPr>
                <w:rFonts w:hint="eastAsia" w:ascii="宋体" w:hAnsi="宋体" w:cs="宋体"/>
                <w:b/>
                <w:bCs w:val="0"/>
                <w:color w:val="000000"/>
                <w:sz w:val="24"/>
                <w:szCs w:val="24"/>
              </w:rPr>
              <w:t>所投厂家</w:t>
            </w:r>
          </w:p>
        </w:tc>
        <w:tc>
          <w:tcPr>
            <w:tcW w:w="1600"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B8CC478">
            <w:pPr>
              <w:widowControl/>
              <w:jc w:val="center"/>
              <w:rPr>
                <w:rFonts w:hint="eastAsia" w:ascii="宋体" w:hAnsi="宋体" w:cs="宋体"/>
                <w:b/>
                <w:bCs w:val="0"/>
                <w:color w:val="000000"/>
                <w:sz w:val="24"/>
                <w:szCs w:val="24"/>
              </w:rPr>
            </w:pPr>
            <w:r>
              <w:rPr>
                <w:rFonts w:hint="eastAsia" w:ascii="宋体" w:hAnsi="宋体" w:cs="宋体"/>
                <w:b/>
                <w:bCs w:val="0"/>
                <w:color w:val="000000"/>
                <w:sz w:val="24"/>
                <w:szCs w:val="24"/>
              </w:rPr>
              <w:t>品牌</w:t>
            </w:r>
          </w:p>
        </w:tc>
        <w:tc>
          <w:tcPr>
            <w:tcW w:w="1912"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ED5776C">
            <w:pPr>
              <w:widowControl/>
              <w:jc w:val="center"/>
              <w:rPr>
                <w:rFonts w:hint="eastAsia" w:ascii="宋体" w:hAnsi="宋体" w:cs="宋体"/>
                <w:b/>
                <w:bCs w:val="0"/>
                <w:color w:val="000000"/>
                <w:sz w:val="24"/>
                <w:szCs w:val="24"/>
                <w:lang w:val="en-US" w:eastAsia="zh-CN"/>
              </w:rPr>
            </w:pPr>
            <w:r>
              <w:rPr>
                <w:rFonts w:hint="eastAsia" w:ascii="宋体" w:hAnsi="宋体" w:cs="宋体"/>
                <w:b/>
                <w:bCs w:val="0"/>
                <w:color w:val="000000"/>
                <w:sz w:val="24"/>
                <w:szCs w:val="24"/>
                <w:lang w:val="en-US" w:eastAsia="zh-CN"/>
              </w:rPr>
              <w:t>发动机</w:t>
            </w:r>
          </w:p>
          <w:p w14:paraId="37FC16F3">
            <w:pPr>
              <w:widowControl/>
              <w:jc w:val="center"/>
              <w:rPr>
                <w:rFonts w:hint="eastAsia" w:ascii="宋体" w:hAnsi="宋体" w:eastAsia="宋体" w:cs="宋体"/>
                <w:b/>
                <w:bCs w:val="0"/>
                <w:color w:val="000000"/>
                <w:sz w:val="24"/>
                <w:szCs w:val="24"/>
                <w:lang w:val="en-US" w:eastAsia="zh-CN" w:bidi="ar-SA"/>
              </w:rPr>
            </w:pPr>
            <w:r>
              <w:rPr>
                <w:rFonts w:hint="eastAsia" w:ascii="宋体" w:hAnsi="宋体" w:cs="宋体"/>
                <w:b/>
                <w:bCs w:val="0"/>
                <w:color w:val="000000"/>
                <w:sz w:val="24"/>
                <w:szCs w:val="24"/>
                <w:lang w:val="en-US" w:eastAsia="zh-CN"/>
              </w:rPr>
              <w:t>生产厂家及</w:t>
            </w:r>
            <w:r>
              <w:rPr>
                <w:rFonts w:hint="eastAsia" w:ascii="宋体" w:hAnsi="宋体" w:cs="宋体"/>
                <w:b/>
                <w:bCs w:val="0"/>
                <w:color w:val="000000"/>
                <w:sz w:val="24"/>
                <w:szCs w:val="24"/>
              </w:rPr>
              <w:t>型号</w:t>
            </w:r>
          </w:p>
        </w:tc>
        <w:tc>
          <w:tcPr>
            <w:tcW w:w="813"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29E60F0">
            <w:pPr>
              <w:widowControl/>
              <w:jc w:val="center"/>
              <w:rPr>
                <w:rFonts w:hint="eastAsia" w:ascii="宋体" w:hAnsi="宋体" w:eastAsia="宋体" w:cs="宋体"/>
                <w:b/>
                <w:bCs w:val="0"/>
                <w:color w:val="000000"/>
                <w:sz w:val="24"/>
                <w:szCs w:val="24"/>
                <w:lang w:val="en-US" w:eastAsia="zh-CN" w:bidi="ar-SA"/>
              </w:rPr>
            </w:pPr>
            <w:r>
              <w:rPr>
                <w:rFonts w:hint="eastAsia" w:ascii="宋体" w:hAnsi="宋体" w:cs="宋体"/>
                <w:b/>
                <w:bCs w:val="0"/>
                <w:color w:val="000000"/>
                <w:sz w:val="24"/>
                <w:szCs w:val="24"/>
                <w:lang w:bidi="ar"/>
              </w:rPr>
              <w:t>单价</w:t>
            </w:r>
          </w:p>
        </w:tc>
        <w:tc>
          <w:tcPr>
            <w:tcW w:w="891"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BFC4C62">
            <w:pPr>
              <w:widowControl/>
              <w:jc w:val="center"/>
              <w:rPr>
                <w:rFonts w:hint="eastAsia" w:ascii="宋体" w:hAnsi="宋体" w:eastAsia="宋体" w:cs="宋体"/>
                <w:b/>
                <w:bCs w:val="0"/>
                <w:color w:val="000000"/>
                <w:sz w:val="24"/>
                <w:szCs w:val="24"/>
                <w:lang w:val="en-US" w:eastAsia="zh-CN" w:bidi="ar-SA"/>
              </w:rPr>
            </w:pPr>
            <w:r>
              <w:rPr>
                <w:rFonts w:hint="eastAsia" w:ascii="宋体" w:hAnsi="宋体" w:cs="宋体"/>
                <w:b/>
                <w:bCs w:val="0"/>
                <w:color w:val="000000"/>
                <w:sz w:val="24"/>
                <w:szCs w:val="24"/>
                <w:lang w:bidi="ar"/>
              </w:rPr>
              <w:t>合计</w:t>
            </w:r>
          </w:p>
        </w:tc>
      </w:tr>
      <w:tr w14:paraId="47A556BA">
        <w:tblPrEx>
          <w:tblCellMar>
            <w:top w:w="0" w:type="dxa"/>
            <w:left w:w="108" w:type="dxa"/>
            <w:bottom w:w="0" w:type="dxa"/>
            <w:right w:w="108" w:type="dxa"/>
          </w:tblCellMar>
        </w:tblPrEx>
        <w:trPr>
          <w:trHeight w:val="806" w:hRule="atLeast"/>
          <w:jc w:val="center"/>
        </w:trPr>
        <w:tc>
          <w:tcPr>
            <w:tcW w:w="698" w:type="dxa"/>
            <w:tcBorders>
              <w:top w:val="single" w:color="000000" w:sz="4" w:space="0"/>
              <w:left w:val="single" w:color="000000" w:sz="4" w:space="0"/>
              <w:bottom w:val="single" w:color="000000" w:sz="4" w:space="0"/>
              <w:right w:val="single" w:color="000000" w:sz="4" w:space="0"/>
            </w:tcBorders>
            <w:noWrap w:val="0"/>
            <w:vAlign w:val="center"/>
          </w:tcPr>
          <w:p w14:paraId="2C97E9A3">
            <w:pPr>
              <w:widowControl/>
              <w:jc w:val="center"/>
              <w:rPr>
                <w:rFonts w:hint="eastAsia" w:ascii="宋体" w:hAnsi="宋体" w:cs="宋体"/>
                <w:color w:val="000000"/>
                <w:sz w:val="24"/>
                <w:szCs w:val="24"/>
              </w:rPr>
            </w:pPr>
            <w:r>
              <w:rPr>
                <w:rFonts w:hint="eastAsia" w:ascii="宋体" w:hAnsi="宋体" w:cs="宋体"/>
                <w:color w:val="000000"/>
                <w:sz w:val="24"/>
                <w:szCs w:val="24"/>
                <w:lang w:bidi="ar"/>
              </w:rPr>
              <w:t>1</w:t>
            </w:r>
          </w:p>
        </w:tc>
        <w:tc>
          <w:tcPr>
            <w:tcW w:w="1196" w:type="dxa"/>
            <w:tcBorders>
              <w:top w:val="nil"/>
              <w:left w:val="nil"/>
              <w:bottom w:val="single" w:color="000000" w:sz="4" w:space="0"/>
              <w:right w:val="single" w:color="000000" w:sz="4" w:space="0"/>
            </w:tcBorders>
            <w:noWrap w:val="0"/>
            <w:vAlign w:val="center"/>
          </w:tcPr>
          <w:p w14:paraId="44C645D9">
            <w:pPr>
              <w:widowControl/>
              <w:jc w:val="center"/>
              <w:rPr>
                <w:rFonts w:hint="default" w:ascii="宋体" w:hAnsi="宋体" w:eastAsia="宋体" w:cs="宋体"/>
                <w:color w:val="000000"/>
                <w:sz w:val="24"/>
                <w:szCs w:val="24"/>
                <w:lang w:val="en-US" w:eastAsia="zh-CN"/>
              </w:rPr>
            </w:pPr>
            <w:r>
              <w:rPr>
                <w:rFonts w:hint="eastAsia" w:ascii="宋体" w:hAnsi="宋体" w:cs="宋体"/>
                <w:sz w:val="24"/>
                <w:szCs w:val="24"/>
              </w:rPr>
              <w:t>殡仪车</w:t>
            </w:r>
            <w:r>
              <w:rPr>
                <w:rFonts w:hint="eastAsia" w:ascii="宋体" w:hAnsi="宋体" w:cs="宋体"/>
                <w:sz w:val="24"/>
                <w:szCs w:val="24"/>
                <w:lang w:eastAsia="zh-CN"/>
              </w:rPr>
              <w:t>（</w:t>
            </w:r>
            <w:r>
              <w:rPr>
                <w:rFonts w:hint="eastAsia" w:ascii="宋体" w:hAnsi="宋体" w:cs="宋体"/>
                <w:sz w:val="24"/>
                <w:szCs w:val="24"/>
                <w:lang w:val="en-US" w:eastAsia="zh-CN"/>
              </w:rPr>
              <w:t>柴油车）</w:t>
            </w:r>
          </w:p>
        </w:tc>
        <w:tc>
          <w:tcPr>
            <w:tcW w:w="638" w:type="dxa"/>
            <w:tcBorders>
              <w:top w:val="nil"/>
              <w:left w:val="nil"/>
              <w:bottom w:val="single" w:color="000000" w:sz="4" w:space="0"/>
              <w:right w:val="single" w:color="000000" w:sz="4" w:space="0"/>
            </w:tcBorders>
            <w:noWrap w:val="0"/>
            <w:vAlign w:val="center"/>
          </w:tcPr>
          <w:p w14:paraId="4E946555">
            <w:pPr>
              <w:widowControl/>
              <w:jc w:val="center"/>
              <w:rPr>
                <w:rFonts w:hint="default" w:ascii="宋体" w:hAnsi="宋体" w:eastAsia="宋体" w:cs="宋体"/>
                <w:color w:val="000000"/>
                <w:sz w:val="24"/>
                <w:szCs w:val="24"/>
                <w:lang w:val="en-US" w:eastAsia="zh-CN"/>
              </w:rPr>
            </w:pPr>
            <w:r>
              <w:rPr>
                <w:rFonts w:hint="eastAsia" w:ascii="宋体" w:hAnsi="宋体" w:cs="宋体"/>
                <w:color w:val="000000"/>
                <w:sz w:val="24"/>
                <w:szCs w:val="24"/>
                <w:lang w:val="en-US" w:eastAsia="zh-CN"/>
              </w:rPr>
              <w:t>3</w:t>
            </w:r>
          </w:p>
        </w:tc>
        <w:tc>
          <w:tcPr>
            <w:tcW w:w="687" w:type="dxa"/>
            <w:tcBorders>
              <w:top w:val="nil"/>
              <w:left w:val="nil"/>
              <w:bottom w:val="single" w:color="000000" w:sz="4" w:space="0"/>
              <w:right w:val="single" w:color="000000" w:sz="4" w:space="0"/>
            </w:tcBorders>
            <w:noWrap w:val="0"/>
            <w:vAlign w:val="center"/>
          </w:tcPr>
          <w:p w14:paraId="4603883D">
            <w:pPr>
              <w:widowControl/>
              <w:jc w:val="center"/>
              <w:rPr>
                <w:rFonts w:hint="eastAsia" w:ascii="宋体" w:hAnsi="宋体" w:cs="宋体"/>
                <w:color w:val="000000"/>
                <w:sz w:val="24"/>
                <w:szCs w:val="24"/>
              </w:rPr>
            </w:pPr>
            <w:r>
              <w:rPr>
                <w:rFonts w:hint="eastAsia" w:ascii="宋体" w:hAnsi="宋体" w:cs="宋体"/>
                <w:color w:val="000000"/>
                <w:sz w:val="24"/>
                <w:szCs w:val="24"/>
              </w:rPr>
              <w:t>辆</w:t>
            </w:r>
          </w:p>
        </w:tc>
        <w:tc>
          <w:tcPr>
            <w:tcW w:w="1212" w:type="dxa"/>
            <w:tcBorders>
              <w:top w:val="nil"/>
              <w:left w:val="single" w:color="000000" w:sz="4" w:space="0"/>
              <w:bottom w:val="single" w:color="000000" w:sz="4" w:space="0"/>
              <w:right w:val="single" w:color="000000" w:sz="4" w:space="0"/>
            </w:tcBorders>
            <w:noWrap w:val="0"/>
            <w:vAlign w:val="center"/>
          </w:tcPr>
          <w:p w14:paraId="4BC4FE76">
            <w:pPr>
              <w:widowControl/>
              <w:jc w:val="center"/>
              <w:rPr>
                <w:rFonts w:hint="eastAsia" w:ascii="宋体" w:hAnsi="宋体" w:cs="宋体"/>
                <w:color w:val="000000"/>
                <w:sz w:val="24"/>
                <w:szCs w:val="24"/>
              </w:rPr>
            </w:pPr>
          </w:p>
        </w:tc>
        <w:tc>
          <w:tcPr>
            <w:tcW w:w="1600" w:type="dxa"/>
            <w:tcBorders>
              <w:top w:val="single" w:color="000000" w:sz="4" w:space="0"/>
              <w:left w:val="single" w:color="000000" w:sz="4" w:space="0"/>
              <w:bottom w:val="single" w:color="000000" w:sz="4" w:space="0"/>
              <w:right w:val="single" w:color="000000" w:sz="4" w:space="0"/>
            </w:tcBorders>
            <w:noWrap w:val="0"/>
            <w:vAlign w:val="center"/>
          </w:tcPr>
          <w:p w14:paraId="3744E65D">
            <w:pPr>
              <w:jc w:val="right"/>
              <w:rPr>
                <w:rFonts w:hint="eastAsia" w:ascii="宋体" w:hAnsi="宋体" w:cs="宋体"/>
                <w:color w:val="000000"/>
                <w:sz w:val="24"/>
                <w:szCs w:val="24"/>
              </w:rPr>
            </w:pPr>
          </w:p>
        </w:tc>
        <w:tc>
          <w:tcPr>
            <w:tcW w:w="1912" w:type="dxa"/>
            <w:tcBorders>
              <w:top w:val="single" w:color="000000" w:sz="4" w:space="0"/>
              <w:left w:val="single" w:color="000000" w:sz="4" w:space="0"/>
              <w:bottom w:val="single" w:color="000000" w:sz="4" w:space="0"/>
              <w:right w:val="single" w:color="000000" w:sz="4" w:space="0"/>
            </w:tcBorders>
            <w:noWrap/>
            <w:vAlign w:val="center"/>
          </w:tcPr>
          <w:p w14:paraId="665E8286">
            <w:pPr>
              <w:jc w:val="right"/>
              <w:rPr>
                <w:rFonts w:hint="eastAsia" w:ascii="宋体" w:hAnsi="宋体" w:cs="宋体"/>
                <w:color w:val="000000"/>
                <w:sz w:val="24"/>
                <w:szCs w:val="24"/>
              </w:rPr>
            </w:pPr>
          </w:p>
        </w:tc>
        <w:tc>
          <w:tcPr>
            <w:tcW w:w="813" w:type="dxa"/>
            <w:tcBorders>
              <w:top w:val="single" w:color="000000" w:sz="4" w:space="0"/>
              <w:left w:val="single" w:color="000000" w:sz="4" w:space="0"/>
              <w:bottom w:val="single" w:color="000000" w:sz="4" w:space="0"/>
              <w:right w:val="single" w:color="000000" w:sz="4" w:space="0"/>
            </w:tcBorders>
            <w:noWrap/>
            <w:vAlign w:val="center"/>
          </w:tcPr>
          <w:p w14:paraId="4FEB6EA6">
            <w:pPr>
              <w:jc w:val="right"/>
              <w:rPr>
                <w:rFonts w:hint="eastAsia" w:ascii="宋体" w:hAnsi="宋体" w:cs="宋体"/>
                <w:color w:val="000000"/>
                <w:sz w:val="24"/>
                <w:szCs w:val="24"/>
              </w:rPr>
            </w:pPr>
          </w:p>
        </w:tc>
        <w:tc>
          <w:tcPr>
            <w:tcW w:w="891" w:type="dxa"/>
            <w:tcBorders>
              <w:top w:val="single" w:color="000000" w:sz="4" w:space="0"/>
              <w:left w:val="single" w:color="000000" w:sz="4" w:space="0"/>
              <w:bottom w:val="single" w:color="000000" w:sz="4" w:space="0"/>
              <w:right w:val="single" w:color="000000" w:sz="4" w:space="0"/>
            </w:tcBorders>
            <w:noWrap/>
            <w:vAlign w:val="center"/>
          </w:tcPr>
          <w:p w14:paraId="1D54C2D0">
            <w:pPr>
              <w:jc w:val="right"/>
              <w:rPr>
                <w:rFonts w:hint="eastAsia" w:ascii="宋体" w:hAnsi="宋体" w:cs="宋体"/>
                <w:color w:val="000000"/>
                <w:sz w:val="24"/>
                <w:szCs w:val="24"/>
              </w:rPr>
            </w:pPr>
          </w:p>
        </w:tc>
      </w:tr>
      <w:tr w14:paraId="21871135">
        <w:tblPrEx>
          <w:tblCellMar>
            <w:top w:w="0" w:type="dxa"/>
            <w:left w:w="108" w:type="dxa"/>
            <w:bottom w:w="0" w:type="dxa"/>
            <w:right w:w="108" w:type="dxa"/>
          </w:tblCellMar>
        </w:tblPrEx>
        <w:trPr>
          <w:trHeight w:val="806" w:hRule="atLeast"/>
          <w:jc w:val="center"/>
        </w:trPr>
        <w:tc>
          <w:tcPr>
            <w:tcW w:w="698" w:type="dxa"/>
            <w:tcBorders>
              <w:top w:val="single" w:color="000000" w:sz="4" w:space="0"/>
              <w:left w:val="single" w:color="000000" w:sz="4" w:space="0"/>
              <w:bottom w:val="single" w:color="000000" w:sz="4" w:space="0"/>
              <w:right w:val="single" w:color="000000" w:sz="4" w:space="0"/>
            </w:tcBorders>
            <w:noWrap w:val="0"/>
            <w:vAlign w:val="center"/>
          </w:tcPr>
          <w:p w14:paraId="31065EF1">
            <w:pPr>
              <w:widowControl/>
              <w:jc w:val="center"/>
              <w:rPr>
                <w:rFonts w:hint="eastAsia" w:ascii="宋体" w:hAnsi="宋体" w:eastAsia="宋体" w:cs="宋体"/>
                <w:color w:val="000000"/>
                <w:sz w:val="24"/>
                <w:szCs w:val="24"/>
                <w:lang w:val="en-US" w:eastAsia="zh-CN" w:bidi="ar"/>
              </w:rPr>
            </w:pPr>
            <w:r>
              <w:rPr>
                <w:rFonts w:hint="eastAsia" w:ascii="宋体" w:hAnsi="宋体" w:cs="宋体"/>
                <w:color w:val="000000"/>
                <w:sz w:val="24"/>
                <w:szCs w:val="24"/>
                <w:lang w:val="en-US" w:eastAsia="zh-CN" w:bidi="ar"/>
              </w:rPr>
              <w:t>2</w:t>
            </w:r>
          </w:p>
        </w:tc>
        <w:tc>
          <w:tcPr>
            <w:tcW w:w="1196" w:type="dxa"/>
            <w:tcBorders>
              <w:top w:val="nil"/>
              <w:left w:val="nil"/>
              <w:bottom w:val="single" w:color="000000" w:sz="4" w:space="0"/>
              <w:right w:val="single" w:color="000000" w:sz="4" w:space="0"/>
            </w:tcBorders>
            <w:noWrap w:val="0"/>
            <w:vAlign w:val="center"/>
          </w:tcPr>
          <w:p w14:paraId="2A6762B3">
            <w:pPr>
              <w:widowControl/>
              <w:jc w:val="center"/>
              <w:rPr>
                <w:rFonts w:hint="eastAsia" w:ascii="宋体" w:hAnsi="宋体" w:cs="宋体"/>
                <w:sz w:val="24"/>
                <w:szCs w:val="24"/>
              </w:rPr>
            </w:pPr>
            <w:r>
              <w:rPr>
                <w:rFonts w:hint="eastAsia" w:ascii="宋体" w:hAnsi="宋体" w:cs="宋体"/>
                <w:sz w:val="24"/>
                <w:szCs w:val="24"/>
              </w:rPr>
              <w:t>殡仪车</w:t>
            </w:r>
            <w:r>
              <w:rPr>
                <w:rFonts w:hint="eastAsia" w:ascii="宋体" w:hAnsi="宋体" w:cs="宋体"/>
                <w:sz w:val="24"/>
                <w:szCs w:val="24"/>
                <w:lang w:eastAsia="zh-CN"/>
              </w:rPr>
              <w:t>（</w:t>
            </w:r>
            <w:r>
              <w:rPr>
                <w:rFonts w:hint="eastAsia" w:ascii="宋体" w:hAnsi="宋体" w:cs="宋体"/>
                <w:sz w:val="24"/>
                <w:szCs w:val="24"/>
                <w:lang w:val="en-US" w:eastAsia="zh-CN"/>
              </w:rPr>
              <w:t>汽油车）</w:t>
            </w:r>
          </w:p>
        </w:tc>
        <w:tc>
          <w:tcPr>
            <w:tcW w:w="638" w:type="dxa"/>
            <w:tcBorders>
              <w:top w:val="nil"/>
              <w:left w:val="nil"/>
              <w:bottom w:val="single" w:color="000000" w:sz="4" w:space="0"/>
              <w:right w:val="single" w:color="000000" w:sz="4" w:space="0"/>
            </w:tcBorders>
            <w:noWrap w:val="0"/>
            <w:vAlign w:val="center"/>
          </w:tcPr>
          <w:p w14:paraId="471BDACA">
            <w:pPr>
              <w:widowControl/>
              <w:jc w:val="center"/>
              <w:rPr>
                <w:rFonts w:hint="default" w:ascii="宋体" w:hAnsi="宋体" w:cs="宋体"/>
                <w:color w:val="000000"/>
                <w:sz w:val="24"/>
                <w:szCs w:val="24"/>
                <w:lang w:val="en-US" w:eastAsia="zh-CN"/>
              </w:rPr>
            </w:pPr>
            <w:r>
              <w:rPr>
                <w:rFonts w:hint="eastAsia" w:ascii="宋体" w:hAnsi="宋体" w:cs="宋体"/>
                <w:color w:val="000000"/>
                <w:sz w:val="24"/>
                <w:szCs w:val="24"/>
                <w:lang w:val="en-US" w:eastAsia="zh-CN"/>
              </w:rPr>
              <w:t>3</w:t>
            </w:r>
          </w:p>
        </w:tc>
        <w:tc>
          <w:tcPr>
            <w:tcW w:w="687" w:type="dxa"/>
            <w:tcBorders>
              <w:top w:val="nil"/>
              <w:left w:val="nil"/>
              <w:bottom w:val="single" w:color="000000" w:sz="4" w:space="0"/>
              <w:right w:val="single" w:color="000000" w:sz="4" w:space="0"/>
            </w:tcBorders>
            <w:noWrap w:val="0"/>
            <w:vAlign w:val="center"/>
          </w:tcPr>
          <w:p w14:paraId="04CAC17C">
            <w:pPr>
              <w:widowControl/>
              <w:jc w:val="center"/>
              <w:rPr>
                <w:rFonts w:hint="eastAsia" w:ascii="宋体" w:hAnsi="宋体" w:cs="宋体"/>
                <w:color w:val="000000"/>
                <w:sz w:val="24"/>
                <w:szCs w:val="24"/>
              </w:rPr>
            </w:pPr>
            <w:r>
              <w:rPr>
                <w:rFonts w:hint="eastAsia" w:ascii="宋体" w:hAnsi="宋体" w:cs="宋体"/>
                <w:color w:val="000000"/>
                <w:sz w:val="24"/>
                <w:szCs w:val="24"/>
              </w:rPr>
              <w:t>辆</w:t>
            </w:r>
          </w:p>
        </w:tc>
        <w:tc>
          <w:tcPr>
            <w:tcW w:w="1212" w:type="dxa"/>
            <w:tcBorders>
              <w:top w:val="nil"/>
              <w:left w:val="single" w:color="000000" w:sz="4" w:space="0"/>
              <w:bottom w:val="single" w:color="000000" w:sz="4" w:space="0"/>
              <w:right w:val="single" w:color="000000" w:sz="4" w:space="0"/>
            </w:tcBorders>
            <w:noWrap w:val="0"/>
            <w:vAlign w:val="center"/>
          </w:tcPr>
          <w:p w14:paraId="5F85C671">
            <w:pPr>
              <w:widowControl/>
              <w:jc w:val="center"/>
              <w:rPr>
                <w:rFonts w:hint="eastAsia" w:ascii="宋体" w:hAnsi="宋体" w:cs="宋体"/>
                <w:color w:val="000000"/>
                <w:sz w:val="24"/>
                <w:szCs w:val="24"/>
              </w:rPr>
            </w:pPr>
          </w:p>
        </w:tc>
        <w:tc>
          <w:tcPr>
            <w:tcW w:w="1600" w:type="dxa"/>
            <w:tcBorders>
              <w:top w:val="single" w:color="000000" w:sz="4" w:space="0"/>
              <w:left w:val="single" w:color="000000" w:sz="4" w:space="0"/>
              <w:bottom w:val="single" w:color="000000" w:sz="4" w:space="0"/>
              <w:right w:val="single" w:color="000000" w:sz="4" w:space="0"/>
            </w:tcBorders>
            <w:noWrap w:val="0"/>
            <w:vAlign w:val="center"/>
          </w:tcPr>
          <w:p w14:paraId="38EF524A">
            <w:pPr>
              <w:jc w:val="right"/>
              <w:rPr>
                <w:rFonts w:hint="eastAsia" w:ascii="宋体" w:hAnsi="宋体" w:cs="宋体"/>
                <w:color w:val="000000"/>
                <w:sz w:val="24"/>
                <w:szCs w:val="24"/>
              </w:rPr>
            </w:pPr>
          </w:p>
        </w:tc>
        <w:tc>
          <w:tcPr>
            <w:tcW w:w="1912" w:type="dxa"/>
            <w:tcBorders>
              <w:top w:val="single" w:color="000000" w:sz="4" w:space="0"/>
              <w:left w:val="single" w:color="000000" w:sz="4" w:space="0"/>
              <w:bottom w:val="single" w:color="000000" w:sz="4" w:space="0"/>
              <w:right w:val="single" w:color="000000" w:sz="4" w:space="0"/>
            </w:tcBorders>
            <w:noWrap/>
            <w:vAlign w:val="center"/>
          </w:tcPr>
          <w:p w14:paraId="542BC6B9">
            <w:pPr>
              <w:jc w:val="right"/>
              <w:rPr>
                <w:rFonts w:hint="eastAsia" w:ascii="宋体" w:hAnsi="宋体" w:cs="宋体"/>
                <w:color w:val="000000"/>
                <w:sz w:val="24"/>
                <w:szCs w:val="24"/>
              </w:rPr>
            </w:pPr>
          </w:p>
        </w:tc>
        <w:tc>
          <w:tcPr>
            <w:tcW w:w="813" w:type="dxa"/>
            <w:tcBorders>
              <w:top w:val="single" w:color="000000" w:sz="4" w:space="0"/>
              <w:left w:val="single" w:color="000000" w:sz="4" w:space="0"/>
              <w:bottom w:val="single" w:color="000000" w:sz="4" w:space="0"/>
              <w:right w:val="single" w:color="000000" w:sz="4" w:space="0"/>
            </w:tcBorders>
            <w:noWrap/>
            <w:vAlign w:val="center"/>
          </w:tcPr>
          <w:p w14:paraId="391284C1">
            <w:pPr>
              <w:jc w:val="right"/>
              <w:rPr>
                <w:rFonts w:hint="eastAsia" w:ascii="宋体" w:hAnsi="宋体" w:cs="宋体"/>
                <w:color w:val="000000"/>
                <w:sz w:val="24"/>
                <w:szCs w:val="24"/>
              </w:rPr>
            </w:pPr>
          </w:p>
        </w:tc>
        <w:tc>
          <w:tcPr>
            <w:tcW w:w="891" w:type="dxa"/>
            <w:tcBorders>
              <w:top w:val="single" w:color="000000" w:sz="4" w:space="0"/>
              <w:left w:val="single" w:color="000000" w:sz="4" w:space="0"/>
              <w:bottom w:val="single" w:color="000000" w:sz="4" w:space="0"/>
              <w:right w:val="single" w:color="000000" w:sz="4" w:space="0"/>
            </w:tcBorders>
            <w:noWrap/>
            <w:vAlign w:val="center"/>
          </w:tcPr>
          <w:p w14:paraId="7A52BF56">
            <w:pPr>
              <w:jc w:val="right"/>
              <w:rPr>
                <w:rFonts w:hint="eastAsia" w:ascii="宋体" w:hAnsi="宋体" w:cs="宋体"/>
                <w:color w:val="000000"/>
                <w:sz w:val="24"/>
                <w:szCs w:val="24"/>
              </w:rPr>
            </w:pPr>
          </w:p>
        </w:tc>
      </w:tr>
      <w:tr w14:paraId="435CE0A3">
        <w:tblPrEx>
          <w:tblCellMar>
            <w:top w:w="0" w:type="dxa"/>
            <w:left w:w="108" w:type="dxa"/>
            <w:bottom w:w="0" w:type="dxa"/>
            <w:right w:w="108" w:type="dxa"/>
          </w:tblCellMar>
        </w:tblPrEx>
        <w:trPr>
          <w:trHeight w:val="1152" w:hRule="atLeast"/>
          <w:jc w:val="center"/>
        </w:trPr>
        <w:tc>
          <w:tcPr>
            <w:tcW w:w="9647" w:type="dxa"/>
            <w:gridSpan w:val="9"/>
            <w:tcBorders>
              <w:top w:val="single" w:color="000000" w:sz="4" w:space="0"/>
              <w:left w:val="single" w:color="000000" w:sz="4" w:space="0"/>
              <w:bottom w:val="single" w:color="000000" w:sz="4" w:space="0"/>
              <w:right w:val="single" w:color="000000" w:sz="4" w:space="0"/>
            </w:tcBorders>
            <w:noWrap w:val="0"/>
            <w:vAlign w:val="center"/>
          </w:tcPr>
          <w:p w14:paraId="15BE7FCF">
            <w:pPr>
              <w:jc w:val="left"/>
              <w:rPr>
                <w:rFonts w:hint="eastAsia" w:ascii="宋体" w:hAnsi="宋体" w:cs="宋体"/>
                <w:bCs/>
                <w:color w:val="auto"/>
                <w:sz w:val="24"/>
                <w:szCs w:val="24"/>
              </w:rPr>
            </w:pPr>
            <w:r>
              <w:rPr>
                <w:rFonts w:hint="eastAsia" w:ascii="宋体" w:hAnsi="宋体" w:cs="宋体"/>
                <w:bCs/>
                <w:color w:val="auto"/>
                <w:sz w:val="24"/>
                <w:szCs w:val="24"/>
              </w:rPr>
              <w:t>投标总价：大写：</w:t>
            </w:r>
            <w:r>
              <w:rPr>
                <w:rFonts w:hint="eastAsia" w:ascii="宋体" w:hAnsi="宋体" w:cs="宋体"/>
                <w:bCs/>
                <w:color w:val="auto"/>
                <w:sz w:val="24"/>
                <w:szCs w:val="24"/>
                <w:u w:val="single"/>
              </w:rPr>
              <w:t xml:space="preserve">                </w:t>
            </w:r>
            <w:r>
              <w:rPr>
                <w:rFonts w:hint="eastAsia" w:ascii="宋体" w:hAnsi="宋体" w:cs="宋体"/>
                <w:bCs/>
                <w:color w:val="auto"/>
                <w:sz w:val="24"/>
                <w:szCs w:val="24"/>
                <w:u w:val="single"/>
                <w:lang w:val="en-US" w:eastAsia="zh-CN"/>
              </w:rPr>
              <w:t xml:space="preserve">    </w:t>
            </w:r>
            <w:r>
              <w:rPr>
                <w:rFonts w:hint="eastAsia" w:ascii="宋体" w:hAnsi="宋体" w:cs="宋体"/>
                <w:bCs/>
                <w:color w:val="auto"/>
                <w:sz w:val="24"/>
                <w:szCs w:val="24"/>
                <w:u w:val="none"/>
                <w:lang w:val="en-US" w:eastAsia="zh-CN"/>
              </w:rPr>
              <w:t>；</w:t>
            </w:r>
            <w:r>
              <w:rPr>
                <w:rFonts w:hint="eastAsia" w:ascii="宋体" w:hAnsi="宋体" w:cs="宋体"/>
                <w:bCs/>
                <w:color w:val="auto"/>
                <w:sz w:val="24"/>
                <w:szCs w:val="24"/>
              </w:rPr>
              <w:t>小写：</w:t>
            </w:r>
            <w:r>
              <w:rPr>
                <w:rFonts w:hint="eastAsia" w:ascii="宋体" w:hAnsi="宋体" w:cs="宋体"/>
                <w:bCs/>
                <w:color w:val="auto"/>
                <w:sz w:val="24"/>
                <w:szCs w:val="24"/>
                <w:u w:val="single"/>
              </w:rPr>
              <w:t xml:space="preserve">   </w:t>
            </w:r>
            <w:r>
              <w:rPr>
                <w:rFonts w:hint="eastAsia" w:ascii="宋体" w:hAnsi="宋体" w:cs="宋体"/>
                <w:bCs/>
                <w:color w:val="auto"/>
                <w:sz w:val="24"/>
                <w:szCs w:val="24"/>
                <w:u w:val="single"/>
                <w:lang w:val="en-US" w:eastAsia="zh-CN"/>
              </w:rPr>
              <w:t xml:space="preserve">                 </w:t>
            </w:r>
            <w:r>
              <w:rPr>
                <w:rFonts w:hint="eastAsia" w:ascii="宋体" w:hAnsi="宋体" w:cs="宋体"/>
                <w:bCs/>
                <w:color w:val="auto"/>
                <w:sz w:val="24"/>
                <w:szCs w:val="24"/>
                <w:u w:val="single"/>
              </w:rPr>
              <w:t xml:space="preserve">   </w:t>
            </w:r>
          </w:p>
        </w:tc>
      </w:tr>
    </w:tbl>
    <w:p w14:paraId="74CCD404">
      <w:pPr>
        <w:pageBreakBefore w:val="0"/>
        <w:pBdr>
          <w:top w:val="none" w:color="000000" w:sz="0" w:space="0"/>
          <w:left w:val="none" w:color="000000" w:sz="0" w:space="0"/>
          <w:bottom w:val="none" w:color="000000" w:sz="0" w:space="0"/>
          <w:right w:val="none" w:color="000000" w:sz="0" w:space="0"/>
        </w:pBdr>
        <w:spacing w:line="420" w:lineRule="exact"/>
        <w:ind w:firstLine="482"/>
        <w:jc w:val="right"/>
        <w:rPr>
          <w:rFonts w:ascii="仿宋" w:hAnsi="仿宋" w:eastAsia="仿宋" w:cs="仿宋"/>
          <w:szCs w:val="21"/>
        </w:rPr>
      </w:pPr>
    </w:p>
    <w:p w14:paraId="245A6718">
      <w:pPr>
        <w:pStyle w:val="29"/>
        <w:pageBreakBefore w:val="0"/>
        <w:widowControl w:val="0"/>
        <w:tabs>
          <w:tab w:val="left" w:pos="4864"/>
        </w:tabs>
        <w:spacing w:before="0" w:beforeAutospacing="0" w:after="0" w:afterAutospacing="0" w:line="420" w:lineRule="exact"/>
        <w:ind w:right="1560" w:firstLine="624"/>
        <w:jc w:val="right"/>
      </w:pPr>
      <w:r>
        <w:rPr>
          <w:rFonts w:hint="eastAsia"/>
        </w:rPr>
        <w:t xml:space="preserve">                                                                </w:t>
      </w:r>
      <w:r>
        <w:rPr>
          <w:rFonts w:hint="eastAsia"/>
          <w:lang w:val="en-US" w:eastAsia="zh-CN"/>
        </w:rPr>
        <w:t xml:space="preserve">    </w:t>
      </w:r>
      <w:r>
        <w:rPr>
          <w:rFonts w:hint="eastAsia"/>
        </w:rPr>
        <w:t>供应商全称（加盖CA电子公章）：</w:t>
      </w:r>
    </w:p>
    <w:p w14:paraId="162AA121">
      <w:pPr>
        <w:pStyle w:val="29"/>
        <w:pageBreakBefore w:val="0"/>
        <w:widowControl w:val="0"/>
        <w:tabs>
          <w:tab w:val="left" w:pos="4864"/>
        </w:tabs>
        <w:spacing w:before="0" w:beforeAutospacing="0" w:after="0" w:afterAutospacing="0" w:line="420" w:lineRule="exact"/>
        <w:ind w:right="1560" w:firstLine="480"/>
        <w:jc w:val="center"/>
      </w:pPr>
      <w:r>
        <w:rPr>
          <w:rFonts w:hint="eastAsia"/>
        </w:rPr>
        <w:t>                                       日  期：</w:t>
      </w:r>
    </w:p>
    <w:p w14:paraId="3D337248">
      <w:pPr>
        <w:pStyle w:val="29"/>
        <w:pageBreakBefore w:val="0"/>
        <w:spacing w:beforeAutospacing="0" w:afterAutospacing="0" w:line="500" w:lineRule="exact"/>
        <w:jc w:val="both"/>
        <w:rPr>
          <w:rFonts w:hint="eastAsia" w:ascii="宋体" w:hAnsi="宋体" w:eastAsia="宋体" w:cs="宋体"/>
          <w:color w:val="000000"/>
        </w:rPr>
      </w:pPr>
      <w:r>
        <w:rPr>
          <w:rFonts w:hint="eastAsia" w:ascii="宋体" w:hAnsi="宋体" w:eastAsia="宋体" w:cs="宋体"/>
          <w:color w:val="000000"/>
        </w:rPr>
        <w:t>备注：1.本项目采用固定单价合同，总价报价。综合单价是指投标人负责为完成本次投标对应子目货物（含附配件、软件）的采购、包装、运输、安装、调试、质保期内维保、售后服务、运维服务等所需的一切费用，包括但不限于：货物（含附配件、软件）的价格、包装费、运输费、装卸费、保险费、安装费、调试费、技术服务费、检测费、质保期内维保费、售后服务费、运维服务费、招标代理服务费、投标费用、管理费、税金、利润、各类风险费、不可预见费及其他一切相关费用等所有费用，招标文件中另有规定的除外。</w:t>
      </w:r>
    </w:p>
    <w:p w14:paraId="4D38111C">
      <w:pPr>
        <w:pStyle w:val="29"/>
        <w:pageBreakBefore w:val="0"/>
        <w:spacing w:beforeAutospacing="0" w:afterAutospacing="0" w:line="500" w:lineRule="exact"/>
        <w:jc w:val="both"/>
      </w:pPr>
      <w:r>
        <w:rPr>
          <w:rFonts w:hint="eastAsia" w:ascii="宋体" w:hAnsi="宋体" w:eastAsia="宋体" w:cs="宋体"/>
          <w:color w:val="000000"/>
        </w:rPr>
        <w:t>2.</w:t>
      </w:r>
      <w:r>
        <w:rPr>
          <w:rFonts w:ascii="Times New Roman" w:hAnsi="Times New Roman"/>
          <w:color w:val="000000"/>
          <w:sz w:val="21"/>
          <w:szCs w:val="21"/>
        </w:rPr>
        <w:t xml:space="preserve"> “</w:t>
      </w:r>
      <w:r>
        <w:rPr>
          <w:rFonts w:hint="eastAsia" w:ascii="宋体" w:hAnsi="宋体" w:eastAsia="宋体" w:cs="宋体"/>
          <w:color w:val="000000"/>
        </w:rPr>
        <w:t>投标分项报价表</w:t>
      </w:r>
      <w:r>
        <w:rPr>
          <w:rFonts w:ascii="Times New Roman" w:hAnsi="Times New Roman"/>
          <w:color w:val="000000"/>
          <w:sz w:val="21"/>
          <w:szCs w:val="21"/>
        </w:rPr>
        <w:t>”</w:t>
      </w:r>
      <w:r>
        <w:rPr>
          <w:rFonts w:hint="eastAsia" w:ascii="宋体" w:hAnsi="宋体" w:eastAsia="宋体" w:cs="宋体"/>
          <w:color w:val="000000"/>
        </w:rPr>
        <w:t>中“投标总报价”数额应当与“开标一览表”中“投标总报价”数额一致。</w:t>
      </w:r>
    </w:p>
    <w:p w14:paraId="0E352575">
      <w:pPr>
        <w:pStyle w:val="29"/>
        <w:pageBreakBefore w:val="0"/>
        <w:spacing w:beforeAutospacing="0" w:afterAutospacing="0" w:line="500" w:lineRule="exact"/>
        <w:jc w:val="both"/>
        <w:sectPr>
          <w:pgSz w:w="11907" w:h="16840"/>
          <w:pgMar w:top="1440" w:right="1587" w:bottom="1440" w:left="1587" w:header="720" w:footer="720" w:gutter="0"/>
          <w:pgNumType w:fmt="decimal"/>
          <w:cols w:space="720" w:num="1"/>
          <w:docGrid w:linePitch="360" w:charSpace="0"/>
        </w:sectPr>
      </w:pPr>
    </w:p>
    <w:p w14:paraId="66D53AE9">
      <w:pPr>
        <w:pStyle w:val="212"/>
        <w:widowControl w:val="0"/>
        <w:spacing w:before="0" w:beforeAutospacing="0" w:after="0" w:afterAutospacing="0"/>
        <w:jc w:val="center"/>
        <w:rPr>
          <w:color w:val="000000"/>
          <w:highlight w:val="none"/>
          <w:shd w:val="clear" w:color="auto" w:fill="auto"/>
        </w:rPr>
      </w:pPr>
      <w:r>
        <w:rPr>
          <w:rFonts w:hint="eastAsia" w:ascii="黑体" w:eastAsia="黑体" w:cs="黑体"/>
          <w:b/>
          <w:color w:val="000000"/>
          <w:sz w:val="32"/>
          <w:szCs w:val="32"/>
          <w:highlight w:val="none"/>
          <w:shd w:val="clear" w:color="auto" w:fill="auto"/>
        </w:rPr>
        <w:t>十</w:t>
      </w:r>
      <w:r>
        <w:rPr>
          <w:rFonts w:hint="eastAsia" w:ascii="黑体" w:eastAsia="黑体" w:cs="黑体"/>
          <w:b/>
          <w:color w:val="000000"/>
          <w:sz w:val="32"/>
          <w:szCs w:val="32"/>
          <w:highlight w:val="none"/>
          <w:shd w:val="clear" w:color="auto" w:fill="auto"/>
          <w:lang w:val="en-US" w:eastAsia="zh-CN"/>
        </w:rPr>
        <w:t>二</w:t>
      </w:r>
      <w:r>
        <w:rPr>
          <w:rFonts w:hint="eastAsia" w:ascii="黑体" w:eastAsia="黑体" w:cs="黑体"/>
          <w:b/>
          <w:color w:val="000000"/>
          <w:sz w:val="32"/>
          <w:szCs w:val="32"/>
          <w:highlight w:val="none"/>
          <w:shd w:val="clear" w:color="auto" w:fill="auto"/>
        </w:rPr>
        <w:t>、技术要求响应及偏离表</w:t>
      </w:r>
    </w:p>
    <w:tbl>
      <w:tblPr>
        <w:tblStyle w:val="31"/>
        <w:tblW w:w="8520" w:type="dxa"/>
        <w:tblCellSpacing w:w="0" w:type="dxa"/>
        <w:tblInd w:w="-108" w:type="dxa"/>
        <w:tblLayout w:type="fixed"/>
        <w:tblCellMar>
          <w:top w:w="0" w:type="dxa"/>
          <w:left w:w="108" w:type="dxa"/>
          <w:bottom w:w="0" w:type="dxa"/>
          <w:right w:w="108" w:type="dxa"/>
        </w:tblCellMar>
      </w:tblPr>
      <w:tblGrid>
        <w:gridCol w:w="538"/>
        <w:gridCol w:w="3026"/>
        <w:gridCol w:w="2608"/>
        <w:gridCol w:w="1247"/>
        <w:gridCol w:w="1101"/>
      </w:tblGrid>
      <w:tr w14:paraId="7F0FEDE4">
        <w:tblPrEx>
          <w:tblCellMar>
            <w:top w:w="0" w:type="dxa"/>
            <w:left w:w="108" w:type="dxa"/>
            <w:bottom w:w="0" w:type="dxa"/>
            <w:right w:w="108" w:type="dxa"/>
          </w:tblCellMar>
        </w:tblPrEx>
        <w:trPr>
          <w:tblCellSpacing w:w="0" w:type="dxa"/>
        </w:trPr>
        <w:tc>
          <w:tcPr>
            <w:tcW w:w="538" w:type="dxa"/>
            <w:tcBorders>
              <w:top w:val="single" w:color="000000" w:sz="4" w:space="0"/>
              <w:left w:val="single" w:color="000000" w:sz="4" w:space="0"/>
              <w:bottom w:val="single" w:color="000000" w:sz="4" w:space="0"/>
              <w:right w:val="single" w:color="000000" w:sz="4" w:space="0"/>
            </w:tcBorders>
            <w:noWrap w:val="0"/>
            <w:vAlign w:val="center"/>
          </w:tcPr>
          <w:p w14:paraId="4A53B1A8">
            <w:pPr>
              <w:pStyle w:val="212"/>
              <w:widowControl w:val="0"/>
              <w:spacing w:before="0" w:beforeAutospacing="0" w:after="0" w:afterAutospacing="0"/>
              <w:jc w:val="center"/>
              <w:rPr>
                <w:color w:val="000000"/>
                <w:highlight w:val="none"/>
                <w:shd w:val="clear" w:color="auto" w:fill="auto"/>
              </w:rPr>
            </w:pPr>
            <w:r>
              <w:rPr>
                <w:rFonts w:hint="eastAsia"/>
                <w:color w:val="000000"/>
                <w:highlight w:val="none"/>
                <w:shd w:val="clear" w:color="auto" w:fill="auto"/>
              </w:rPr>
              <w:t>序号</w:t>
            </w:r>
          </w:p>
        </w:tc>
        <w:tc>
          <w:tcPr>
            <w:tcW w:w="3026" w:type="dxa"/>
            <w:tcBorders>
              <w:top w:val="single" w:color="000000" w:sz="4" w:space="0"/>
              <w:left w:val="single" w:color="000000" w:sz="4" w:space="0"/>
              <w:bottom w:val="single" w:color="000000" w:sz="4" w:space="0"/>
              <w:right w:val="single" w:color="000000" w:sz="4" w:space="0"/>
            </w:tcBorders>
            <w:noWrap w:val="0"/>
            <w:vAlign w:val="center"/>
          </w:tcPr>
          <w:p w14:paraId="09EE6D49">
            <w:pPr>
              <w:pStyle w:val="212"/>
              <w:widowControl w:val="0"/>
              <w:spacing w:before="0" w:beforeAutospacing="0" w:after="0" w:afterAutospacing="0"/>
              <w:jc w:val="center"/>
              <w:rPr>
                <w:color w:val="000000"/>
                <w:highlight w:val="none"/>
                <w:shd w:val="clear" w:color="auto" w:fill="auto"/>
              </w:rPr>
            </w:pPr>
            <w:r>
              <w:rPr>
                <w:rFonts w:hint="eastAsia"/>
                <w:color w:val="000000"/>
                <w:highlight w:val="none"/>
                <w:shd w:val="clear" w:color="auto" w:fill="auto"/>
              </w:rPr>
              <w:t>询价文件要求</w:t>
            </w:r>
          </w:p>
        </w:tc>
        <w:tc>
          <w:tcPr>
            <w:tcW w:w="2608" w:type="dxa"/>
            <w:tcBorders>
              <w:top w:val="single" w:color="000000" w:sz="4" w:space="0"/>
              <w:left w:val="single" w:color="000000" w:sz="4" w:space="0"/>
              <w:bottom w:val="single" w:color="000000" w:sz="4" w:space="0"/>
              <w:right w:val="single" w:color="000000" w:sz="4" w:space="0"/>
            </w:tcBorders>
            <w:noWrap w:val="0"/>
            <w:vAlign w:val="center"/>
          </w:tcPr>
          <w:p w14:paraId="323D8E9E">
            <w:pPr>
              <w:pStyle w:val="212"/>
              <w:widowControl w:val="0"/>
              <w:spacing w:before="0" w:beforeAutospacing="0" w:after="0" w:afterAutospacing="0"/>
              <w:jc w:val="center"/>
              <w:rPr>
                <w:color w:val="000000"/>
                <w:highlight w:val="none"/>
                <w:shd w:val="clear" w:color="auto" w:fill="auto"/>
              </w:rPr>
            </w:pPr>
            <w:r>
              <w:rPr>
                <w:rFonts w:hint="eastAsia"/>
                <w:color w:val="000000"/>
                <w:highlight w:val="none"/>
                <w:shd w:val="clear" w:color="auto" w:fill="auto"/>
              </w:rPr>
              <w:t>响应情况</w:t>
            </w:r>
          </w:p>
        </w:tc>
        <w:tc>
          <w:tcPr>
            <w:tcW w:w="1247" w:type="dxa"/>
            <w:tcBorders>
              <w:top w:val="single" w:color="000000" w:sz="4" w:space="0"/>
              <w:left w:val="single" w:color="000000" w:sz="4" w:space="0"/>
              <w:bottom w:val="single" w:color="000000" w:sz="4" w:space="0"/>
              <w:right w:val="single" w:color="000000" w:sz="4" w:space="0"/>
            </w:tcBorders>
            <w:noWrap w:val="0"/>
            <w:vAlign w:val="center"/>
          </w:tcPr>
          <w:p w14:paraId="6CE5C688">
            <w:pPr>
              <w:pStyle w:val="212"/>
              <w:widowControl w:val="0"/>
              <w:spacing w:before="0" w:beforeAutospacing="0" w:after="0" w:afterAutospacing="0"/>
              <w:jc w:val="center"/>
              <w:rPr>
                <w:color w:val="000000"/>
                <w:highlight w:val="none"/>
                <w:shd w:val="clear" w:color="auto" w:fill="auto"/>
              </w:rPr>
            </w:pPr>
            <w:r>
              <w:rPr>
                <w:rFonts w:hint="eastAsia"/>
                <w:color w:val="000000"/>
                <w:highlight w:val="none"/>
                <w:shd w:val="clear" w:color="auto" w:fill="auto"/>
              </w:rPr>
              <w:t>超出、符合或偏离</w:t>
            </w:r>
          </w:p>
        </w:tc>
        <w:tc>
          <w:tcPr>
            <w:tcW w:w="1101" w:type="dxa"/>
            <w:tcBorders>
              <w:top w:val="single" w:color="000000" w:sz="4" w:space="0"/>
              <w:left w:val="single" w:color="000000" w:sz="4" w:space="0"/>
              <w:bottom w:val="single" w:color="000000" w:sz="4" w:space="0"/>
              <w:right w:val="single" w:color="000000" w:sz="4" w:space="0"/>
            </w:tcBorders>
            <w:noWrap w:val="0"/>
            <w:vAlign w:val="center"/>
          </w:tcPr>
          <w:p w14:paraId="535FFD66">
            <w:pPr>
              <w:pStyle w:val="212"/>
              <w:widowControl w:val="0"/>
              <w:spacing w:before="0" w:beforeAutospacing="0" w:after="0" w:afterAutospacing="0"/>
              <w:jc w:val="center"/>
              <w:rPr>
                <w:color w:val="000000"/>
                <w:highlight w:val="none"/>
                <w:shd w:val="clear" w:color="auto" w:fill="auto"/>
              </w:rPr>
            </w:pPr>
            <w:r>
              <w:rPr>
                <w:rFonts w:hint="eastAsia"/>
                <w:color w:val="000000"/>
                <w:highlight w:val="none"/>
                <w:shd w:val="clear" w:color="auto" w:fill="auto"/>
              </w:rPr>
              <w:t>证明</w:t>
            </w:r>
          </w:p>
          <w:p w14:paraId="76177AE3">
            <w:pPr>
              <w:pStyle w:val="212"/>
              <w:widowControl w:val="0"/>
              <w:spacing w:before="0" w:beforeAutospacing="0" w:after="0" w:afterAutospacing="0"/>
              <w:jc w:val="center"/>
              <w:rPr>
                <w:color w:val="000000"/>
                <w:highlight w:val="none"/>
                <w:shd w:val="clear" w:color="auto" w:fill="auto"/>
              </w:rPr>
            </w:pPr>
            <w:r>
              <w:rPr>
                <w:rFonts w:hint="eastAsia"/>
                <w:color w:val="000000"/>
                <w:highlight w:val="none"/>
                <w:shd w:val="clear" w:color="auto" w:fill="auto"/>
              </w:rPr>
              <w:t>材料</w:t>
            </w:r>
          </w:p>
        </w:tc>
      </w:tr>
      <w:tr w14:paraId="75978079">
        <w:tblPrEx>
          <w:tblCellMar>
            <w:top w:w="0" w:type="dxa"/>
            <w:left w:w="108" w:type="dxa"/>
            <w:bottom w:w="0" w:type="dxa"/>
            <w:right w:w="108" w:type="dxa"/>
          </w:tblCellMar>
        </w:tblPrEx>
        <w:trPr>
          <w:trHeight w:val="640" w:hRule="atLeast"/>
          <w:tblCellSpacing w:w="0" w:type="dxa"/>
        </w:trPr>
        <w:tc>
          <w:tcPr>
            <w:tcW w:w="538" w:type="dxa"/>
            <w:tcBorders>
              <w:top w:val="single" w:color="000000" w:sz="4" w:space="0"/>
              <w:left w:val="single" w:color="000000" w:sz="4" w:space="0"/>
              <w:bottom w:val="single" w:color="000000" w:sz="4" w:space="0"/>
              <w:right w:val="single" w:color="000000" w:sz="4" w:space="0"/>
            </w:tcBorders>
            <w:noWrap w:val="0"/>
            <w:vAlign w:val="center"/>
          </w:tcPr>
          <w:p w14:paraId="0D7E4294">
            <w:pPr>
              <w:pStyle w:val="212"/>
              <w:widowControl w:val="0"/>
              <w:spacing w:before="0" w:beforeAutospacing="0" w:after="0" w:afterAutospacing="0"/>
              <w:jc w:val="center"/>
              <w:rPr>
                <w:color w:val="000000"/>
                <w:highlight w:val="none"/>
                <w:shd w:val="clear" w:color="auto" w:fill="auto"/>
              </w:rPr>
            </w:pPr>
            <w:r>
              <w:rPr>
                <w:color w:val="000000"/>
                <w:highlight w:val="none"/>
                <w:shd w:val="clear" w:color="auto" w:fill="auto"/>
              </w:rPr>
              <w:t> </w:t>
            </w:r>
          </w:p>
        </w:tc>
        <w:tc>
          <w:tcPr>
            <w:tcW w:w="3026" w:type="dxa"/>
            <w:tcBorders>
              <w:top w:val="single" w:color="000000" w:sz="4" w:space="0"/>
              <w:left w:val="single" w:color="000000" w:sz="4" w:space="0"/>
              <w:bottom w:val="single" w:color="000000" w:sz="4" w:space="0"/>
              <w:right w:val="single" w:color="000000" w:sz="4" w:space="0"/>
            </w:tcBorders>
            <w:noWrap w:val="0"/>
            <w:vAlign w:val="center"/>
          </w:tcPr>
          <w:p w14:paraId="48105A45">
            <w:pPr>
              <w:pStyle w:val="212"/>
              <w:widowControl w:val="0"/>
              <w:spacing w:before="0" w:beforeAutospacing="0" w:after="0" w:afterAutospacing="0"/>
              <w:jc w:val="center"/>
              <w:rPr>
                <w:color w:val="000000"/>
                <w:highlight w:val="none"/>
                <w:shd w:val="clear" w:color="auto" w:fill="auto"/>
              </w:rPr>
            </w:pPr>
            <w:r>
              <w:rPr>
                <w:color w:val="000000"/>
                <w:highlight w:val="none"/>
                <w:shd w:val="clear" w:color="auto" w:fill="auto"/>
              </w:rPr>
              <w:t> </w:t>
            </w:r>
          </w:p>
        </w:tc>
        <w:tc>
          <w:tcPr>
            <w:tcW w:w="2608" w:type="dxa"/>
            <w:tcBorders>
              <w:top w:val="single" w:color="000000" w:sz="4" w:space="0"/>
              <w:left w:val="single" w:color="000000" w:sz="4" w:space="0"/>
              <w:bottom w:val="single" w:color="000000" w:sz="4" w:space="0"/>
              <w:right w:val="single" w:color="000000" w:sz="4" w:space="0"/>
            </w:tcBorders>
            <w:noWrap w:val="0"/>
            <w:vAlign w:val="center"/>
          </w:tcPr>
          <w:p w14:paraId="1A7AB32F">
            <w:pPr>
              <w:pStyle w:val="212"/>
              <w:widowControl w:val="0"/>
              <w:spacing w:before="0" w:beforeAutospacing="0" w:after="0" w:afterAutospacing="0"/>
              <w:jc w:val="center"/>
              <w:rPr>
                <w:color w:val="000000"/>
                <w:highlight w:val="none"/>
                <w:shd w:val="clear" w:color="auto" w:fill="auto"/>
              </w:rPr>
            </w:pPr>
            <w:r>
              <w:rPr>
                <w:color w:val="000000"/>
                <w:highlight w:val="none"/>
                <w:shd w:val="clear" w:color="auto" w:fill="auto"/>
              </w:rPr>
              <w:t> </w:t>
            </w:r>
          </w:p>
        </w:tc>
        <w:tc>
          <w:tcPr>
            <w:tcW w:w="1247" w:type="dxa"/>
            <w:tcBorders>
              <w:top w:val="single" w:color="000000" w:sz="4" w:space="0"/>
              <w:left w:val="single" w:color="000000" w:sz="4" w:space="0"/>
              <w:bottom w:val="single" w:color="000000" w:sz="4" w:space="0"/>
              <w:right w:val="single" w:color="000000" w:sz="4" w:space="0"/>
            </w:tcBorders>
            <w:noWrap w:val="0"/>
            <w:vAlign w:val="center"/>
          </w:tcPr>
          <w:p w14:paraId="26A406E7">
            <w:pPr>
              <w:pStyle w:val="212"/>
              <w:widowControl w:val="0"/>
              <w:spacing w:before="0" w:beforeAutospacing="0" w:after="0" w:afterAutospacing="0"/>
              <w:jc w:val="center"/>
              <w:rPr>
                <w:color w:val="000000"/>
                <w:highlight w:val="none"/>
                <w:shd w:val="clear" w:color="auto" w:fill="auto"/>
              </w:rPr>
            </w:pPr>
            <w:r>
              <w:rPr>
                <w:color w:val="000000"/>
                <w:highlight w:val="none"/>
                <w:shd w:val="clear" w:color="auto" w:fill="auto"/>
              </w:rPr>
              <w:t> </w:t>
            </w:r>
          </w:p>
        </w:tc>
        <w:tc>
          <w:tcPr>
            <w:tcW w:w="1101" w:type="dxa"/>
            <w:tcBorders>
              <w:top w:val="single" w:color="000000" w:sz="4" w:space="0"/>
              <w:left w:val="single" w:color="000000" w:sz="4" w:space="0"/>
              <w:bottom w:val="single" w:color="000000" w:sz="4" w:space="0"/>
              <w:right w:val="single" w:color="000000" w:sz="4" w:space="0"/>
            </w:tcBorders>
            <w:noWrap w:val="0"/>
            <w:vAlign w:val="center"/>
          </w:tcPr>
          <w:p w14:paraId="5A3E59C2">
            <w:pPr>
              <w:pStyle w:val="212"/>
              <w:widowControl w:val="0"/>
              <w:spacing w:before="0" w:beforeAutospacing="0" w:after="0" w:afterAutospacing="0"/>
              <w:jc w:val="center"/>
              <w:rPr>
                <w:color w:val="000000"/>
                <w:highlight w:val="none"/>
                <w:shd w:val="clear" w:color="auto" w:fill="auto"/>
              </w:rPr>
            </w:pPr>
            <w:r>
              <w:rPr>
                <w:color w:val="000000"/>
                <w:highlight w:val="none"/>
                <w:shd w:val="clear" w:color="auto" w:fill="auto"/>
              </w:rPr>
              <w:t> </w:t>
            </w:r>
          </w:p>
        </w:tc>
      </w:tr>
      <w:tr w14:paraId="2265E0EA">
        <w:tblPrEx>
          <w:tblCellMar>
            <w:top w:w="0" w:type="dxa"/>
            <w:left w:w="108" w:type="dxa"/>
            <w:bottom w:w="0" w:type="dxa"/>
            <w:right w:w="108" w:type="dxa"/>
          </w:tblCellMar>
        </w:tblPrEx>
        <w:trPr>
          <w:trHeight w:val="640" w:hRule="atLeast"/>
          <w:tblCellSpacing w:w="0" w:type="dxa"/>
        </w:trPr>
        <w:tc>
          <w:tcPr>
            <w:tcW w:w="538" w:type="dxa"/>
            <w:tcBorders>
              <w:top w:val="single" w:color="000000" w:sz="4" w:space="0"/>
              <w:left w:val="single" w:color="000000" w:sz="4" w:space="0"/>
              <w:bottom w:val="single" w:color="000000" w:sz="4" w:space="0"/>
              <w:right w:val="single" w:color="000000" w:sz="4" w:space="0"/>
            </w:tcBorders>
            <w:noWrap w:val="0"/>
            <w:vAlign w:val="center"/>
          </w:tcPr>
          <w:p w14:paraId="0F4B3C89">
            <w:pPr>
              <w:pStyle w:val="212"/>
              <w:widowControl w:val="0"/>
              <w:spacing w:before="0" w:beforeAutospacing="0" w:after="0" w:afterAutospacing="0"/>
              <w:jc w:val="center"/>
              <w:rPr>
                <w:color w:val="000000"/>
                <w:highlight w:val="none"/>
                <w:shd w:val="clear" w:color="auto" w:fill="auto"/>
              </w:rPr>
            </w:pPr>
            <w:r>
              <w:rPr>
                <w:color w:val="000000"/>
                <w:highlight w:val="none"/>
                <w:shd w:val="clear" w:color="auto" w:fill="auto"/>
              </w:rPr>
              <w:t> </w:t>
            </w:r>
          </w:p>
        </w:tc>
        <w:tc>
          <w:tcPr>
            <w:tcW w:w="3026" w:type="dxa"/>
            <w:tcBorders>
              <w:top w:val="single" w:color="000000" w:sz="4" w:space="0"/>
              <w:left w:val="single" w:color="000000" w:sz="4" w:space="0"/>
              <w:bottom w:val="single" w:color="000000" w:sz="4" w:space="0"/>
              <w:right w:val="single" w:color="000000" w:sz="4" w:space="0"/>
            </w:tcBorders>
            <w:noWrap w:val="0"/>
            <w:vAlign w:val="center"/>
          </w:tcPr>
          <w:p w14:paraId="16AE61FF">
            <w:pPr>
              <w:pStyle w:val="212"/>
              <w:widowControl w:val="0"/>
              <w:spacing w:before="0" w:beforeAutospacing="0" w:after="0" w:afterAutospacing="0"/>
              <w:jc w:val="center"/>
              <w:rPr>
                <w:color w:val="000000"/>
                <w:highlight w:val="none"/>
                <w:shd w:val="clear" w:color="auto" w:fill="auto"/>
              </w:rPr>
            </w:pPr>
            <w:r>
              <w:rPr>
                <w:color w:val="000000"/>
                <w:highlight w:val="none"/>
                <w:shd w:val="clear" w:color="auto" w:fill="auto"/>
              </w:rPr>
              <w:t> </w:t>
            </w:r>
          </w:p>
        </w:tc>
        <w:tc>
          <w:tcPr>
            <w:tcW w:w="2608" w:type="dxa"/>
            <w:tcBorders>
              <w:top w:val="single" w:color="000000" w:sz="4" w:space="0"/>
              <w:left w:val="single" w:color="000000" w:sz="4" w:space="0"/>
              <w:bottom w:val="single" w:color="000000" w:sz="4" w:space="0"/>
              <w:right w:val="single" w:color="000000" w:sz="4" w:space="0"/>
            </w:tcBorders>
            <w:noWrap w:val="0"/>
            <w:vAlign w:val="center"/>
          </w:tcPr>
          <w:p w14:paraId="70204056">
            <w:pPr>
              <w:pStyle w:val="212"/>
              <w:widowControl w:val="0"/>
              <w:spacing w:before="0" w:beforeAutospacing="0" w:after="0" w:afterAutospacing="0"/>
              <w:jc w:val="center"/>
              <w:rPr>
                <w:color w:val="000000"/>
                <w:highlight w:val="none"/>
                <w:shd w:val="clear" w:color="auto" w:fill="auto"/>
              </w:rPr>
            </w:pPr>
            <w:r>
              <w:rPr>
                <w:color w:val="000000"/>
                <w:highlight w:val="none"/>
                <w:shd w:val="clear" w:color="auto" w:fill="auto"/>
              </w:rPr>
              <w:t> </w:t>
            </w:r>
          </w:p>
        </w:tc>
        <w:tc>
          <w:tcPr>
            <w:tcW w:w="1247" w:type="dxa"/>
            <w:tcBorders>
              <w:top w:val="single" w:color="000000" w:sz="4" w:space="0"/>
              <w:left w:val="single" w:color="000000" w:sz="4" w:space="0"/>
              <w:bottom w:val="single" w:color="000000" w:sz="4" w:space="0"/>
              <w:right w:val="single" w:color="000000" w:sz="4" w:space="0"/>
            </w:tcBorders>
            <w:noWrap w:val="0"/>
            <w:vAlign w:val="center"/>
          </w:tcPr>
          <w:p w14:paraId="3D9CE731">
            <w:pPr>
              <w:pStyle w:val="212"/>
              <w:widowControl w:val="0"/>
              <w:spacing w:before="0" w:beforeAutospacing="0" w:after="0" w:afterAutospacing="0"/>
              <w:jc w:val="center"/>
              <w:rPr>
                <w:color w:val="000000"/>
                <w:highlight w:val="none"/>
                <w:shd w:val="clear" w:color="auto" w:fill="auto"/>
              </w:rPr>
            </w:pPr>
            <w:r>
              <w:rPr>
                <w:color w:val="000000"/>
                <w:highlight w:val="none"/>
                <w:shd w:val="clear" w:color="auto" w:fill="auto"/>
              </w:rPr>
              <w:t> </w:t>
            </w:r>
          </w:p>
        </w:tc>
        <w:tc>
          <w:tcPr>
            <w:tcW w:w="1101" w:type="dxa"/>
            <w:tcBorders>
              <w:top w:val="single" w:color="000000" w:sz="4" w:space="0"/>
              <w:left w:val="single" w:color="000000" w:sz="4" w:space="0"/>
              <w:bottom w:val="single" w:color="000000" w:sz="4" w:space="0"/>
              <w:right w:val="single" w:color="000000" w:sz="4" w:space="0"/>
            </w:tcBorders>
            <w:noWrap w:val="0"/>
            <w:vAlign w:val="center"/>
          </w:tcPr>
          <w:p w14:paraId="77B25ECB">
            <w:pPr>
              <w:pStyle w:val="212"/>
              <w:widowControl w:val="0"/>
              <w:spacing w:before="0" w:beforeAutospacing="0" w:after="0" w:afterAutospacing="0"/>
              <w:jc w:val="center"/>
              <w:rPr>
                <w:color w:val="000000"/>
                <w:highlight w:val="none"/>
                <w:shd w:val="clear" w:color="auto" w:fill="auto"/>
              </w:rPr>
            </w:pPr>
            <w:r>
              <w:rPr>
                <w:color w:val="000000"/>
                <w:highlight w:val="none"/>
                <w:shd w:val="clear" w:color="auto" w:fill="auto"/>
              </w:rPr>
              <w:t> </w:t>
            </w:r>
          </w:p>
        </w:tc>
      </w:tr>
      <w:tr w14:paraId="23B19E1A">
        <w:tblPrEx>
          <w:tblCellMar>
            <w:top w:w="0" w:type="dxa"/>
            <w:left w:w="108" w:type="dxa"/>
            <w:bottom w:w="0" w:type="dxa"/>
            <w:right w:w="108" w:type="dxa"/>
          </w:tblCellMar>
        </w:tblPrEx>
        <w:trPr>
          <w:trHeight w:val="640" w:hRule="atLeast"/>
          <w:tblCellSpacing w:w="0" w:type="dxa"/>
        </w:trPr>
        <w:tc>
          <w:tcPr>
            <w:tcW w:w="538" w:type="dxa"/>
            <w:tcBorders>
              <w:top w:val="single" w:color="000000" w:sz="4" w:space="0"/>
              <w:left w:val="single" w:color="000000" w:sz="4" w:space="0"/>
              <w:bottom w:val="single" w:color="000000" w:sz="4" w:space="0"/>
              <w:right w:val="single" w:color="000000" w:sz="4" w:space="0"/>
            </w:tcBorders>
            <w:noWrap w:val="0"/>
            <w:vAlign w:val="center"/>
          </w:tcPr>
          <w:p w14:paraId="37564441">
            <w:pPr>
              <w:pStyle w:val="212"/>
              <w:widowControl w:val="0"/>
              <w:spacing w:before="0" w:beforeAutospacing="0" w:after="0" w:afterAutospacing="0"/>
              <w:jc w:val="center"/>
              <w:rPr>
                <w:color w:val="000000"/>
                <w:highlight w:val="none"/>
                <w:shd w:val="clear" w:color="auto" w:fill="auto"/>
              </w:rPr>
            </w:pPr>
            <w:r>
              <w:rPr>
                <w:color w:val="000000"/>
                <w:highlight w:val="none"/>
                <w:shd w:val="clear" w:color="auto" w:fill="auto"/>
              </w:rPr>
              <w:t> </w:t>
            </w:r>
          </w:p>
        </w:tc>
        <w:tc>
          <w:tcPr>
            <w:tcW w:w="3026" w:type="dxa"/>
            <w:tcBorders>
              <w:top w:val="single" w:color="000000" w:sz="4" w:space="0"/>
              <w:left w:val="single" w:color="000000" w:sz="4" w:space="0"/>
              <w:bottom w:val="single" w:color="000000" w:sz="4" w:space="0"/>
              <w:right w:val="single" w:color="000000" w:sz="4" w:space="0"/>
            </w:tcBorders>
            <w:noWrap w:val="0"/>
            <w:vAlign w:val="center"/>
          </w:tcPr>
          <w:p w14:paraId="127EC6E6">
            <w:pPr>
              <w:pStyle w:val="212"/>
              <w:widowControl w:val="0"/>
              <w:spacing w:before="0" w:beforeAutospacing="0" w:after="0" w:afterAutospacing="0"/>
              <w:jc w:val="center"/>
              <w:rPr>
                <w:color w:val="000000"/>
                <w:highlight w:val="none"/>
                <w:shd w:val="clear" w:color="auto" w:fill="auto"/>
              </w:rPr>
            </w:pPr>
            <w:r>
              <w:rPr>
                <w:color w:val="000000"/>
                <w:highlight w:val="none"/>
                <w:shd w:val="clear" w:color="auto" w:fill="auto"/>
              </w:rPr>
              <w:t> </w:t>
            </w:r>
          </w:p>
        </w:tc>
        <w:tc>
          <w:tcPr>
            <w:tcW w:w="2608" w:type="dxa"/>
            <w:tcBorders>
              <w:top w:val="single" w:color="000000" w:sz="4" w:space="0"/>
              <w:left w:val="single" w:color="000000" w:sz="4" w:space="0"/>
              <w:bottom w:val="single" w:color="000000" w:sz="4" w:space="0"/>
              <w:right w:val="single" w:color="000000" w:sz="4" w:space="0"/>
            </w:tcBorders>
            <w:noWrap w:val="0"/>
            <w:vAlign w:val="center"/>
          </w:tcPr>
          <w:p w14:paraId="2F5E0F6C">
            <w:pPr>
              <w:pStyle w:val="212"/>
              <w:widowControl w:val="0"/>
              <w:spacing w:before="0" w:beforeAutospacing="0" w:after="0" w:afterAutospacing="0"/>
              <w:jc w:val="center"/>
              <w:rPr>
                <w:color w:val="000000"/>
                <w:highlight w:val="none"/>
                <w:shd w:val="clear" w:color="auto" w:fill="auto"/>
              </w:rPr>
            </w:pPr>
            <w:r>
              <w:rPr>
                <w:color w:val="000000"/>
                <w:highlight w:val="none"/>
                <w:shd w:val="clear" w:color="auto" w:fill="auto"/>
              </w:rPr>
              <w:t> </w:t>
            </w:r>
          </w:p>
        </w:tc>
        <w:tc>
          <w:tcPr>
            <w:tcW w:w="1247" w:type="dxa"/>
            <w:tcBorders>
              <w:top w:val="single" w:color="000000" w:sz="4" w:space="0"/>
              <w:left w:val="single" w:color="000000" w:sz="4" w:space="0"/>
              <w:bottom w:val="single" w:color="000000" w:sz="4" w:space="0"/>
              <w:right w:val="single" w:color="000000" w:sz="4" w:space="0"/>
            </w:tcBorders>
            <w:noWrap w:val="0"/>
            <w:vAlign w:val="center"/>
          </w:tcPr>
          <w:p w14:paraId="616A1DA6">
            <w:pPr>
              <w:pStyle w:val="212"/>
              <w:widowControl w:val="0"/>
              <w:spacing w:before="0" w:beforeAutospacing="0" w:after="0" w:afterAutospacing="0"/>
              <w:jc w:val="center"/>
              <w:rPr>
                <w:color w:val="000000"/>
                <w:highlight w:val="none"/>
                <w:shd w:val="clear" w:color="auto" w:fill="auto"/>
              </w:rPr>
            </w:pPr>
            <w:r>
              <w:rPr>
                <w:color w:val="000000"/>
                <w:highlight w:val="none"/>
                <w:shd w:val="clear" w:color="auto" w:fill="auto"/>
              </w:rPr>
              <w:t> </w:t>
            </w:r>
          </w:p>
        </w:tc>
        <w:tc>
          <w:tcPr>
            <w:tcW w:w="1101" w:type="dxa"/>
            <w:tcBorders>
              <w:top w:val="single" w:color="000000" w:sz="4" w:space="0"/>
              <w:left w:val="single" w:color="000000" w:sz="4" w:space="0"/>
              <w:bottom w:val="single" w:color="000000" w:sz="4" w:space="0"/>
              <w:right w:val="single" w:color="000000" w:sz="4" w:space="0"/>
            </w:tcBorders>
            <w:noWrap w:val="0"/>
            <w:vAlign w:val="center"/>
          </w:tcPr>
          <w:p w14:paraId="62BCF243">
            <w:pPr>
              <w:pStyle w:val="212"/>
              <w:widowControl w:val="0"/>
              <w:spacing w:before="0" w:beforeAutospacing="0" w:after="0" w:afterAutospacing="0"/>
              <w:jc w:val="center"/>
              <w:rPr>
                <w:color w:val="000000"/>
                <w:highlight w:val="none"/>
                <w:shd w:val="clear" w:color="auto" w:fill="auto"/>
              </w:rPr>
            </w:pPr>
            <w:r>
              <w:rPr>
                <w:color w:val="000000"/>
                <w:highlight w:val="none"/>
                <w:shd w:val="clear" w:color="auto" w:fill="auto"/>
              </w:rPr>
              <w:t> </w:t>
            </w:r>
          </w:p>
        </w:tc>
      </w:tr>
      <w:tr w14:paraId="45249E12">
        <w:tblPrEx>
          <w:tblCellMar>
            <w:top w:w="0" w:type="dxa"/>
            <w:left w:w="108" w:type="dxa"/>
            <w:bottom w:w="0" w:type="dxa"/>
            <w:right w:w="108" w:type="dxa"/>
          </w:tblCellMar>
        </w:tblPrEx>
        <w:trPr>
          <w:trHeight w:val="640" w:hRule="atLeast"/>
          <w:tblCellSpacing w:w="0" w:type="dxa"/>
        </w:trPr>
        <w:tc>
          <w:tcPr>
            <w:tcW w:w="538" w:type="dxa"/>
            <w:tcBorders>
              <w:top w:val="single" w:color="000000" w:sz="4" w:space="0"/>
              <w:left w:val="single" w:color="000000" w:sz="4" w:space="0"/>
              <w:bottom w:val="single" w:color="000000" w:sz="4" w:space="0"/>
              <w:right w:val="single" w:color="000000" w:sz="4" w:space="0"/>
            </w:tcBorders>
            <w:noWrap w:val="0"/>
            <w:vAlign w:val="center"/>
          </w:tcPr>
          <w:p w14:paraId="012DC671">
            <w:pPr>
              <w:pStyle w:val="212"/>
              <w:widowControl w:val="0"/>
              <w:spacing w:before="0" w:beforeAutospacing="0" w:after="0" w:afterAutospacing="0"/>
              <w:jc w:val="center"/>
              <w:rPr>
                <w:color w:val="000000"/>
                <w:highlight w:val="none"/>
                <w:shd w:val="clear" w:color="auto" w:fill="auto"/>
              </w:rPr>
            </w:pPr>
            <w:r>
              <w:rPr>
                <w:color w:val="000000"/>
                <w:highlight w:val="none"/>
                <w:shd w:val="clear" w:color="auto" w:fill="auto"/>
              </w:rPr>
              <w:t> </w:t>
            </w:r>
          </w:p>
        </w:tc>
        <w:tc>
          <w:tcPr>
            <w:tcW w:w="3026" w:type="dxa"/>
            <w:tcBorders>
              <w:top w:val="single" w:color="000000" w:sz="4" w:space="0"/>
              <w:left w:val="single" w:color="000000" w:sz="4" w:space="0"/>
              <w:bottom w:val="single" w:color="000000" w:sz="4" w:space="0"/>
              <w:right w:val="single" w:color="000000" w:sz="4" w:space="0"/>
            </w:tcBorders>
            <w:noWrap w:val="0"/>
            <w:vAlign w:val="center"/>
          </w:tcPr>
          <w:p w14:paraId="75CD0934">
            <w:pPr>
              <w:pStyle w:val="212"/>
              <w:widowControl w:val="0"/>
              <w:spacing w:before="0" w:beforeAutospacing="0" w:after="0" w:afterAutospacing="0"/>
              <w:jc w:val="center"/>
              <w:rPr>
                <w:color w:val="000000"/>
                <w:highlight w:val="none"/>
                <w:shd w:val="clear" w:color="auto" w:fill="auto"/>
              </w:rPr>
            </w:pPr>
            <w:r>
              <w:rPr>
                <w:color w:val="000000"/>
                <w:highlight w:val="none"/>
                <w:shd w:val="clear" w:color="auto" w:fill="auto"/>
              </w:rPr>
              <w:t> </w:t>
            </w:r>
          </w:p>
        </w:tc>
        <w:tc>
          <w:tcPr>
            <w:tcW w:w="2608" w:type="dxa"/>
            <w:tcBorders>
              <w:top w:val="single" w:color="000000" w:sz="4" w:space="0"/>
              <w:left w:val="single" w:color="000000" w:sz="4" w:space="0"/>
              <w:bottom w:val="single" w:color="000000" w:sz="4" w:space="0"/>
              <w:right w:val="single" w:color="000000" w:sz="4" w:space="0"/>
            </w:tcBorders>
            <w:noWrap w:val="0"/>
            <w:vAlign w:val="center"/>
          </w:tcPr>
          <w:p w14:paraId="2154CB65">
            <w:pPr>
              <w:pStyle w:val="212"/>
              <w:widowControl w:val="0"/>
              <w:spacing w:before="0" w:beforeAutospacing="0" w:after="0" w:afterAutospacing="0"/>
              <w:jc w:val="center"/>
              <w:rPr>
                <w:color w:val="000000"/>
                <w:highlight w:val="none"/>
                <w:shd w:val="clear" w:color="auto" w:fill="auto"/>
              </w:rPr>
            </w:pPr>
            <w:r>
              <w:rPr>
                <w:color w:val="000000"/>
                <w:highlight w:val="none"/>
                <w:shd w:val="clear" w:color="auto" w:fill="auto"/>
              </w:rPr>
              <w:t> </w:t>
            </w:r>
          </w:p>
        </w:tc>
        <w:tc>
          <w:tcPr>
            <w:tcW w:w="1247" w:type="dxa"/>
            <w:tcBorders>
              <w:top w:val="single" w:color="000000" w:sz="4" w:space="0"/>
              <w:left w:val="single" w:color="000000" w:sz="4" w:space="0"/>
              <w:bottom w:val="single" w:color="000000" w:sz="4" w:space="0"/>
              <w:right w:val="single" w:color="000000" w:sz="4" w:space="0"/>
            </w:tcBorders>
            <w:noWrap w:val="0"/>
            <w:vAlign w:val="center"/>
          </w:tcPr>
          <w:p w14:paraId="062D3175">
            <w:pPr>
              <w:pStyle w:val="212"/>
              <w:widowControl w:val="0"/>
              <w:spacing w:before="0" w:beforeAutospacing="0" w:after="0" w:afterAutospacing="0"/>
              <w:jc w:val="center"/>
              <w:rPr>
                <w:color w:val="000000"/>
                <w:highlight w:val="none"/>
                <w:shd w:val="clear" w:color="auto" w:fill="auto"/>
              </w:rPr>
            </w:pPr>
            <w:r>
              <w:rPr>
                <w:color w:val="000000"/>
                <w:highlight w:val="none"/>
                <w:shd w:val="clear" w:color="auto" w:fill="auto"/>
              </w:rPr>
              <w:t> </w:t>
            </w:r>
          </w:p>
        </w:tc>
        <w:tc>
          <w:tcPr>
            <w:tcW w:w="1101" w:type="dxa"/>
            <w:tcBorders>
              <w:top w:val="single" w:color="000000" w:sz="4" w:space="0"/>
              <w:left w:val="single" w:color="000000" w:sz="4" w:space="0"/>
              <w:bottom w:val="single" w:color="000000" w:sz="4" w:space="0"/>
              <w:right w:val="single" w:color="000000" w:sz="4" w:space="0"/>
            </w:tcBorders>
            <w:noWrap w:val="0"/>
            <w:vAlign w:val="center"/>
          </w:tcPr>
          <w:p w14:paraId="5ED8FA69">
            <w:pPr>
              <w:pStyle w:val="212"/>
              <w:widowControl w:val="0"/>
              <w:spacing w:before="0" w:beforeAutospacing="0" w:after="0" w:afterAutospacing="0"/>
              <w:jc w:val="center"/>
              <w:rPr>
                <w:color w:val="000000"/>
                <w:highlight w:val="none"/>
                <w:shd w:val="clear" w:color="auto" w:fill="auto"/>
              </w:rPr>
            </w:pPr>
            <w:r>
              <w:rPr>
                <w:color w:val="000000"/>
                <w:highlight w:val="none"/>
                <w:shd w:val="clear" w:color="auto" w:fill="auto"/>
              </w:rPr>
              <w:t> </w:t>
            </w:r>
          </w:p>
        </w:tc>
      </w:tr>
      <w:tr w14:paraId="49F18B48">
        <w:tblPrEx>
          <w:tblCellMar>
            <w:top w:w="0" w:type="dxa"/>
            <w:left w:w="108" w:type="dxa"/>
            <w:bottom w:w="0" w:type="dxa"/>
            <w:right w:w="108" w:type="dxa"/>
          </w:tblCellMar>
        </w:tblPrEx>
        <w:trPr>
          <w:trHeight w:val="640" w:hRule="atLeast"/>
          <w:tblCellSpacing w:w="0" w:type="dxa"/>
        </w:trPr>
        <w:tc>
          <w:tcPr>
            <w:tcW w:w="538" w:type="dxa"/>
            <w:tcBorders>
              <w:top w:val="single" w:color="000000" w:sz="4" w:space="0"/>
              <w:left w:val="single" w:color="000000" w:sz="4" w:space="0"/>
              <w:bottom w:val="single" w:color="000000" w:sz="4" w:space="0"/>
              <w:right w:val="single" w:color="000000" w:sz="4" w:space="0"/>
            </w:tcBorders>
            <w:noWrap w:val="0"/>
            <w:vAlign w:val="center"/>
          </w:tcPr>
          <w:p w14:paraId="7CF3ED02">
            <w:pPr>
              <w:pStyle w:val="212"/>
              <w:widowControl w:val="0"/>
              <w:spacing w:before="0" w:beforeAutospacing="0" w:after="0" w:afterAutospacing="0"/>
              <w:jc w:val="center"/>
              <w:rPr>
                <w:color w:val="000000"/>
                <w:highlight w:val="none"/>
                <w:shd w:val="clear" w:color="auto" w:fill="auto"/>
              </w:rPr>
            </w:pPr>
            <w:r>
              <w:rPr>
                <w:color w:val="000000"/>
                <w:highlight w:val="none"/>
                <w:shd w:val="clear" w:color="auto" w:fill="auto"/>
              </w:rPr>
              <w:t> </w:t>
            </w:r>
          </w:p>
        </w:tc>
        <w:tc>
          <w:tcPr>
            <w:tcW w:w="3026" w:type="dxa"/>
            <w:tcBorders>
              <w:top w:val="single" w:color="000000" w:sz="4" w:space="0"/>
              <w:left w:val="single" w:color="000000" w:sz="4" w:space="0"/>
              <w:bottom w:val="single" w:color="000000" w:sz="4" w:space="0"/>
              <w:right w:val="single" w:color="000000" w:sz="4" w:space="0"/>
            </w:tcBorders>
            <w:noWrap w:val="0"/>
            <w:vAlign w:val="center"/>
          </w:tcPr>
          <w:p w14:paraId="3225D0FC">
            <w:pPr>
              <w:pStyle w:val="212"/>
              <w:widowControl w:val="0"/>
              <w:spacing w:before="0" w:beforeAutospacing="0" w:after="0" w:afterAutospacing="0"/>
              <w:jc w:val="center"/>
              <w:rPr>
                <w:color w:val="000000"/>
                <w:highlight w:val="none"/>
                <w:shd w:val="clear" w:color="auto" w:fill="auto"/>
              </w:rPr>
            </w:pPr>
            <w:r>
              <w:rPr>
                <w:color w:val="000000"/>
                <w:highlight w:val="none"/>
                <w:shd w:val="clear" w:color="auto" w:fill="auto"/>
              </w:rPr>
              <w:t> </w:t>
            </w:r>
          </w:p>
        </w:tc>
        <w:tc>
          <w:tcPr>
            <w:tcW w:w="2608" w:type="dxa"/>
            <w:tcBorders>
              <w:top w:val="single" w:color="000000" w:sz="4" w:space="0"/>
              <w:left w:val="single" w:color="000000" w:sz="4" w:space="0"/>
              <w:bottom w:val="single" w:color="000000" w:sz="4" w:space="0"/>
              <w:right w:val="single" w:color="000000" w:sz="4" w:space="0"/>
            </w:tcBorders>
            <w:noWrap w:val="0"/>
            <w:vAlign w:val="center"/>
          </w:tcPr>
          <w:p w14:paraId="1AD86102">
            <w:pPr>
              <w:pStyle w:val="212"/>
              <w:widowControl w:val="0"/>
              <w:spacing w:before="0" w:beforeAutospacing="0" w:after="0" w:afterAutospacing="0"/>
              <w:jc w:val="center"/>
              <w:rPr>
                <w:color w:val="000000"/>
                <w:highlight w:val="none"/>
                <w:shd w:val="clear" w:color="auto" w:fill="auto"/>
              </w:rPr>
            </w:pPr>
            <w:r>
              <w:rPr>
                <w:color w:val="000000"/>
                <w:highlight w:val="none"/>
                <w:shd w:val="clear" w:color="auto" w:fill="auto"/>
              </w:rPr>
              <w:t> </w:t>
            </w:r>
          </w:p>
        </w:tc>
        <w:tc>
          <w:tcPr>
            <w:tcW w:w="1247" w:type="dxa"/>
            <w:tcBorders>
              <w:top w:val="single" w:color="000000" w:sz="4" w:space="0"/>
              <w:left w:val="single" w:color="000000" w:sz="4" w:space="0"/>
              <w:bottom w:val="single" w:color="000000" w:sz="4" w:space="0"/>
              <w:right w:val="single" w:color="000000" w:sz="4" w:space="0"/>
            </w:tcBorders>
            <w:noWrap w:val="0"/>
            <w:vAlign w:val="center"/>
          </w:tcPr>
          <w:p w14:paraId="3B167EF7">
            <w:pPr>
              <w:pStyle w:val="212"/>
              <w:widowControl w:val="0"/>
              <w:spacing w:before="0" w:beforeAutospacing="0" w:after="0" w:afterAutospacing="0"/>
              <w:jc w:val="center"/>
              <w:rPr>
                <w:color w:val="000000"/>
                <w:highlight w:val="none"/>
                <w:shd w:val="clear" w:color="auto" w:fill="auto"/>
              </w:rPr>
            </w:pPr>
            <w:r>
              <w:rPr>
                <w:color w:val="000000"/>
                <w:highlight w:val="none"/>
                <w:shd w:val="clear" w:color="auto" w:fill="auto"/>
              </w:rPr>
              <w:t> </w:t>
            </w:r>
          </w:p>
        </w:tc>
        <w:tc>
          <w:tcPr>
            <w:tcW w:w="1101" w:type="dxa"/>
            <w:tcBorders>
              <w:top w:val="single" w:color="000000" w:sz="4" w:space="0"/>
              <w:left w:val="single" w:color="000000" w:sz="4" w:space="0"/>
              <w:bottom w:val="single" w:color="000000" w:sz="4" w:space="0"/>
              <w:right w:val="single" w:color="000000" w:sz="4" w:space="0"/>
            </w:tcBorders>
            <w:noWrap w:val="0"/>
            <w:vAlign w:val="center"/>
          </w:tcPr>
          <w:p w14:paraId="1FE56780">
            <w:pPr>
              <w:pStyle w:val="212"/>
              <w:widowControl w:val="0"/>
              <w:spacing w:before="0" w:beforeAutospacing="0" w:after="0" w:afterAutospacing="0"/>
              <w:jc w:val="center"/>
              <w:rPr>
                <w:color w:val="000000"/>
                <w:highlight w:val="none"/>
                <w:shd w:val="clear" w:color="auto" w:fill="auto"/>
              </w:rPr>
            </w:pPr>
            <w:r>
              <w:rPr>
                <w:color w:val="000000"/>
                <w:highlight w:val="none"/>
                <w:shd w:val="clear" w:color="auto" w:fill="auto"/>
              </w:rPr>
              <w:t> </w:t>
            </w:r>
          </w:p>
        </w:tc>
      </w:tr>
      <w:tr w14:paraId="21CC171F">
        <w:tblPrEx>
          <w:tblCellMar>
            <w:top w:w="0" w:type="dxa"/>
            <w:left w:w="108" w:type="dxa"/>
            <w:bottom w:w="0" w:type="dxa"/>
            <w:right w:w="108" w:type="dxa"/>
          </w:tblCellMar>
        </w:tblPrEx>
        <w:trPr>
          <w:trHeight w:val="640" w:hRule="atLeast"/>
          <w:tblCellSpacing w:w="0" w:type="dxa"/>
        </w:trPr>
        <w:tc>
          <w:tcPr>
            <w:tcW w:w="538" w:type="dxa"/>
            <w:tcBorders>
              <w:top w:val="single" w:color="000000" w:sz="4" w:space="0"/>
              <w:left w:val="single" w:color="000000" w:sz="4" w:space="0"/>
              <w:bottom w:val="single" w:color="000000" w:sz="4" w:space="0"/>
              <w:right w:val="single" w:color="000000" w:sz="4" w:space="0"/>
            </w:tcBorders>
            <w:noWrap w:val="0"/>
            <w:vAlign w:val="center"/>
          </w:tcPr>
          <w:p w14:paraId="54839517">
            <w:pPr>
              <w:pStyle w:val="212"/>
              <w:widowControl w:val="0"/>
              <w:spacing w:before="0" w:beforeAutospacing="0" w:after="0" w:afterAutospacing="0"/>
              <w:jc w:val="center"/>
              <w:rPr>
                <w:color w:val="000000"/>
                <w:highlight w:val="none"/>
                <w:shd w:val="clear" w:color="auto" w:fill="auto"/>
              </w:rPr>
            </w:pPr>
            <w:r>
              <w:rPr>
                <w:color w:val="000000"/>
                <w:highlight w:val="none"/>
                <w:shd w:val="clear" w:color="auto" w:fill="auto"/>
              </w:rPr>
              <w:t> </w:t>
            </w:r>
          </w:p>
        </w:tc>
        <w:tc>
          <w:tcPr>
            <w:tcW w:w="3026" w:type="dxa"/>
            <w:tcBorders>
              <w:top w:val="single" w:color="000000" w:sz="4" w:space="0"/>
              <w:left w:val="single" w:color="000000" w:sz="4" w:space="0"/>
              <w:bottom w:val="single" w:color="000000" w:sz="4" w:space="0"/>
              <w:right w:val="single" w:color="000000" w:sz="4" w:space="0"/>
            </w:tcBorders>
            <w:noWrap w:val="0"/>
            <w:vAlign w:val="center"/>
          </w:tcPr>
          <w:p w14:paraId="6B63A126">
            <w:pPr>
              <w:pStyle w:val="212"/>
              <w:widowControl w:val="0"/>
              <w:spacing w:before="0" w:beforeAutospacing="0" w:after="0" w:afterAutospacing="0"/>
              <w:jc w:val="center"/>
              <w:rPr>
                <w:color w:val="000000"/>
                <w:highlight w:val="none"/>
                <w:shd w:val="clear" w:color="auto" w:fill="auto"/>
              </w:rPr>
            </w:pPr>
            <w:r>
              <w:rPr>
                <w:color w:val="000000"/>
                <w:highlight w:val="none"/>
                <w:shd w:val="clear" w:color="auto" w:fill="auto"/>
              </w:rPr>
              <w:t> </w:t>
            </w:r>
          </w:p>
        </w:tc>
        <w:tc>
          <w:tcPr>
            <w:tcW w:w="2608" w:type="dxa"/>
            <w:tcBorders>
              <w:top w:val="single" w:color="000000" w:sz="4" w:space="0"/>
              <w:left w:val="single" w:color="000000" w:sz="4" w:space="0"/>
              <w:bottom w:val="single" w:color="000000" w:sz="4" w:space="0"/>
              <w:right w:val="single" w:color="000000" w:sz="4" w:space="0"/>
            </w:tcBorders>
            <w:noWrap w:val="0"/>
            <w:vAlign w:val="center"/>
          </w:tcPr>
          <w:p w14:paraId="12CB5707">
            <w:pPr>
              <w:pStyle w:val="212"/>
              <w:widowControl w:val="0"/>
              <w:spacing w:before="0" w:beforeAutospacing="0" w:after="0" w:afterAutospacing="0"/>
              <w:jc w:val="center"/>
              <w:rPr>
                <w:color w:val="000000"/>
                <w:highlight w:val="none"/>
                <w:shd w:val="clear" w:color="auto" w:fill="auto"/>
              </w:rPr>
            </w:pPr>
            <w:r>
              <w:rPr>
                <w:color w:val="000000"/>
                <w:highlight w:val="none"/>
                <w:shd w:val="clear" w:color="auto" w:fill="auto"/>
              </w:rPr>
              <w:t> </w:t>
            </w:r>
          </w:p>
        </w:tc>
        <w:tc>
          <w:tcPr>
            <w:tcW w:w="1247" w:type="dxa"/>
            <w:tcBorders>
              <w:top w:val="single" w:color="000000" w:sz="4" w:space="0"/>
              <w:left w:val="single" w:color="000000" w:sz="4" w:space="0"/>
              <w:bottom w:val="single" w:color="000000" w:sz="4" w:space="0"/>
              <w:right w:val="single" w:color="000000" w:sz="4" w:space="0"/>
            </w:tcBorders>
            <w:noWrap w:val="0"/>
            <w:vAlign w:val="center"/>
          </w:tcPr>
          <w:p w14:paraId="1B6C8C14">
            <w:pPr>
              <w:pStyle w:val="212"/>
              <w:widowControl w:val="0"/>
              <w:spacing w:before="0" w:beforeAutospacing="0" w:after="0" w:afterAutospacing="0"/>
              <w:jc w:val="center"/>
              <w:rPr>
                <w:color w:val="000000"/>
                <w:highlight w:val="none"/>
                <w:shd w:val="clear" w:color="auto" w:fill="auto"/>
              </w:rPr>
            </w:pPr>
            <w:r>
              <w:rPr>
                <w:color w:val="000000"/>
                <w:highlight w:val="none"/>
                <w:shd w:val="clear" w:color="auto" w:fill="auto"/>
              </w:rPr>
              <w:t> </w:t>
            </w:r>
          </w:p>
        </w:tc>
        <w:tc>
          <w:tcPr>
            <w:tcW w:w="1101" w:type="dxa"/>
            <w:tcBorders>
              <w:top w:val="single" w:color="000000" w:sz="4" w:space="0"/>
              <w:left w:val="single" w:color="000000" w:sz="4" w:space="0"/>
              <w:bottom w:val="single" w:color="000000" w:sz="4" w:space="0"/>
              <w:right w:val="single" w:color="000000" w:sz="4" w:space="0"/>
            </w:tcBorders>
            <w:noWrap w:val="0"/>
            <w:vAlign w:val="center"/>
          </w:tcPr>
          <w:p w14:paraId="778643D1">
            <w:pPr>
              <w:pStyle w:val="212"/>
              <w:widowControl w:val="0"/>
              <w:spacing w:before="0" w:beforeAutospacing="0" w:after="0" w:afterAutospacing="0"/>
              <w:jc w:val="center"/>
              <w:rPr>
                <w:color w:val="000000"/>
                <w:highlight w:val="none"/>
                <w:shd w:val="clear" w:color="auto" w:fill="auto"/>
              </w:rPr>
            </w:pPr>
            <w:r>
              <w:rPr>
                <w:color w:val="000000"/>
                <w:highlight w:val="none"/>
                <w:shd w:val="clear" w:color="auto" w:fill="auto"/>
              </w:rPr>
              <w:t> </w:t>
            </w:r>
          </w:p>
        </w:tc>
      </w:tr>
      <w:tr w14:paraId="48F754FD">
        <w:tblPrEx>
          <w:tblCellMar>
            <w:top w:w="0" w:type="dxa"/>
            <w:left w:w="108" w:type="dxa"/>
            <w:bottom w:w="0" w:type="dxa"/>
            <w:right w:w="108" w:type="dxa"/>
          </w:tblCellMar>
        </w:tblPrEx>
        <w:trPr>
          <w:trHeight w:val="640" w:hRule="atLeast"/>
          <w:tblCellSpacing w:w="0" w:type="dxa"/>
        </w:trPr>
        <w:tc>
          <w:tcPr>
            <w:tcW w:w="538" w:type="dxa"/>
            <w:tcBorders>
              <w:top w:val="single" w:color="000000" w:sz="4" w:space="0"/>
              <w:left w:val="single" w:color="000000" w:sz="4" w:space="0"/>
              <w:bottom w:val="single" w:color="000000" w:sz="4" w:space="0"/>
              <w:right w:val="single" w:color="000000" w:sz="4" w:space="0"/>
            </w:tcBorders>
            <w:noWrap w:val="0"/>
            <w:vAlign w:val="center"/>
          </w:tcPr>
          <w:p w14:paraId="6EFD8F74">
            <w:pPr>
              <w:pStyle w:val="212"/>
              <w:widowControl w:val="0"/>
              <w:spacing w:before="0" w:beforeAutospacing="0" w:after="0" w:afterAutospacing="0"/>
              <w:jc w:val="center"/>
              <w:rPr>
                <w:color w:val="000000"/>
                <w:highlight w:val="none"/>
                <w:shd w:val="clear" w:color="auto" w:fill="auto"/>
              </w:rPr>
            </w:pPr>
            <w:r>
              <w:rPr>
                <w:color w:val="000000"/>
                <w:highlight w:val="none"/>
                <w:shd w:val="clear" w:color="auto" w:fill="auto"/>
              </w:rPr>
              <w:t> </w:t>
            </w:r>
          </w:p>
        </w:tc>
        <w:tc>
          <w:tcPr>
            <w:tcW w:w="3026" w:type="dxa"/>
            <w:tcBorders>
              <w:top w:val="single" w:color="000000" w:sz="4" w:space="0"/>
              <w:left w:val="single" w:color="000000" w:sz="4" w:space="0"/>
              <w:bottom w:val="single" w:color="000000" w:sz="4" w:space="0"/>
              <w:right w:val="single" w:color="000000" w:sz="4" w:space="0"/>
            </w:tcBorders>
            <w:noWrap w:val="0"/>
            <w:vAlign w:val="center"/>
          </w:tcPr>
          <w:p w14:paraId="149C534B">
            <w:pPr>
              <w:pStyle w:val="212"/>
              <w:widowControl w:val="0"/>
              <w:spacing w:before="0" w:beforeAutospacing="0" w:after="0" w:afterAutospacing="0"/>
              <w:jc w:val="center"/>
              <w:rPr>
                <w:color w:val="000000"/>
                <w:highlight w:val="none"/>
                <w:shd w:val="clear" w:color="auto" w:fill="auto"/>
              </w:rPr>
            </w:pPr>
            <w:r>
              <w:rPr>
                <w:color w:val="000000"/>
                <w:highlight w:val="none"/>
                <w:shd w:val="clear" w:color="auto" w:fill="auto"/>
              </w:rPr>
              <w:t> </w:t>
            </w:r>
          </w:p>
        </w:tc>
        <w:tc>
          <w:tcPr>
            <w:tcW w:w="2608" w:type="dxa"/>
            <w:tcBorders>
              <w:top w:val="single" w:color="000000" w:sz="4" w:space="0"/>
              <w:left w:val="single" w:color="000000" w:sz="4" w:space="0"/>
              <w:bottom w:val="single" w:color="000000" w:sz="4" w:space="0"/>
              <w:right w:val="single" w:color="000000" w:sz="4" w:space="0"/>
            </w:tcBorders>
            <w:noWrap w:val="0"/>
            <w:vAlign w:val="center"/>
          </w:tcPr>
          <w:p w14:paraId="6D2B8E7A">
            <w:pPr>
              <w:pStyle w:val="212"/>
              <w:widowControl w:val="0"/>
              <w:spacing w:before="0" w:beforeAutospacing="0" w:after="0" w:afterAutospacing="0"/>
              <w:jc w:val="center"/>
              <w:rPr>
                <w:color w:val="000000"/>
                <w:highlight w:val="none"/>
                <w:shd w:val="clear" w:color="auto" w:fill="auto"/>
              </w:rPr>
            </w:pPr>
            <w:r>
              <w:rPr>
                <w:color w:val="000000"/>
                <w:highlight w:val="none"/>
                <w:shd w:val="clear" w:color="auto" w:fill="auto"/>
              </w:rPr>
              <w:t> </w:t>
            </w:r>
          </w:p>
        </w:tc>
        <w:tc>
          <w:tcPr>
            <w:tcW w:w="1247" w:type="dxa"/>
            <w:tcBorders>
              <w:top w:val="single" w:color="000000" w:sz="4" w:space="0"/>
              <w:left w:val="single" w:color="000000" w:sz="4" w:space="0"/>
              <w:bottom w:val="single" w:color="000000" w:sz="4" w:space="0"/>
              <w:right w:val="single" w:color="000000" w:sz="4" w:space="0"/>
            </w:tcBorders>
            <w:noWrap w:val="0"/>
            <w:vAlign w:val="center"/>
          </w:tcPr>
          <w:p w14:paraId="6FBF0C9E">
            <w:pPr>
              <w:pStyle w:val="212"/>
              <w:widowControl w:val="0"/>
              <w:spacing w:before="0" w:beforeAutospacing="0" w:after="0" w:afterAutospacing="0"/>
              <w:jc w:val="center"/>
              <w:rPr>
                <w:color w:val="000000"/>
                <w:highlight w:val="none"/>
                <w:shd w:val="clear" w:color="auto" w:fill="auto"/>
              </w:rPr>
            </w:pPr>
            <w:r>
              <w:rPr>
                <w:color w:val="000000"/>
                <w:highlight w:val="none"/>
                <w:shd w:val="clear" w:color="auto" w:fill="auto"/>
              </w:rPr>
              <w:t> </w:t>
            </w:r>
          </w:p>
        </w:tc>
        <w:tc>
          <w:tcPr>
            <w:tcW w:w="1101" w:type="dxa"/>
            <w:tcBorders>
              <w:top w:val="single" w:color="000000" w:sz="4" w:space="0"/>
              <w:left w:val="single" w:color="000000" w:sz="4" w:space="0"/>
              <w:bottom w:val="single" w:color="000000" w:sz="4" w:space="0"/>
              <w:right w:val="single" w:color="000000" w:sz="4" w:space="0"/>
            </w:tcBorders>
            <w:noWrap w:val="0"/>
            <w:vAlign w:val="center"/>
          </w:tcPr>
          <w:p w14:paraId="6F0AABA7">
            <w:pPr>
              <w:pStyle w:val="212"/>
              <w:widowControl w:val="0"/>
              <w:spacing w:before="0" w:beforeAutospacing="0" w:after="0" w:afterAutospacing="0"/>
              <w:jc w:val="center"/>
              <w:rPr>
                <w:color w:val="000000"/>
                <w:highlight w:val="none"/>
                <w:shd w:val="clear" w:color="auto" w:fill="auto"/>
              </w:rPr>
            </w:pPr>
            <w:r>
              <w:rPr>
                <w:color w:val="000000"/>
                <w:highlight w:val="none"/>
                <w:shd w:val="clear" w:color="auto" w:fill="auto"/>
              </w:rPr>
              <w:t> </w:t>
            </w:r>
          </w:p>
        </w:tc>
      </w:tr>
      <w:tr w14:paraId="7A4CC4B8">
        <w:tblPrEx>
          <w:tblCellMar>
            <w:top w:w="0" w:type="dxa"/>
            <w:left w:w="108" w:type="dxa"/>
            <w:bottom w:w="0" w:type="dxa"/>
            <w:right w:w="108" w:type="dxa"/>
          </w:tblCellMar>
        </w:tblPrEx>
        <w:trPr>
          <w:trHeight w:val="640" w:hRule="atLeast"/>
          <w:tblCellSpacing w:w="0" w:type="dxa"/>
        </w:trPr>
        <w:tc>
          <w:tcPr>
            <w:tcW w:w="538" w:type="dxa"/>
            <w:tcBorders>
              <w:top w:val="single" w:color="000000" w:sz="4" w:space="0"/>
              <w:left w:val="single" w:color="000000" w:sz="4" w:space="0"/>
              <w:bottom w:val="single" w:color="000000" w:sz="4" w:space="0"/>
              <w:right w:val="single" w:color="000000" w:sz="4" w:space="0"/>
            </w:tcBorders>
            <w:noWrap w:val="0"/>
            <w:vAlign w:val="center"/>
          </w:tcPr>
          <w:p w14:paraId="74D479B0">
            <w:pPr>
              <w:pStyle w:val="212"/>
              <w:widowControl w:val="0"/>
              <w:spacing w:before="0" w:beforeAutospacing="0" w:after="0" w:afterAutospacing="0"/>
              <w:jc w:val="center"/>
              <w:rPr>
                <w:color w:val="000000"/>
                <w:highlight w:val="none"/>
                <w:shd w:val="clear" w:color="auto" w:fill="auto"/>
              </w:rPr>
            </w:pPr>
            <w:r>
              <w:rPr>
                <w:color w:val="000000"/>
                <w:highlight w:val="none"/>
                <w:shd w:val="clear" w:color="auto" w:fill="auto"/>
              </w:rPr>
              <w:t> </w:t>
            </w:r>
          </w:p>
        </w:tc>
        <w:tc>
          <w:tcPr>
            <w:tcW w:w="3026" w:type="dxa"/>
            <w:tcBorders>
              <w:top w:val="single" w:color="000000" w:sz="4" w:space="0"/>
              <w:left w:val="single" w:color="000000" w:sz="4" w:space="0"/>
              <w:bottom w:val="single" w:color="000000" w:sz="4" w:space="0"/>
              <w:right w:val="single" w:color="000000" w:sz="4" w:space="0"/>
            </w:tcBorders>
            <w:noWrap w:val="0"/>
            <w:vAlign w:val="center"/>
          </w:tcPr>
          <w:p w14:paraId="729FC774">
            <w:pPr>
              <w:pStyle w:val="212"/>
              <w:widowControl w:val="0"/>
              <w:spacing w:before="0" w:beforeAutospacing="0" w:after="0" w:afterAutospacing="0"/>
              <w:jc w:val="center"/>
              <w:rPr>
                <w:color w:val="000000"/>
                <w:highlight w:val="none"/>
                <w:shd w:val="clear" w:color="auto" w:fill="auto"/>
              </w:rPr>
            </w:pPr>
            <w:r>
              <w:rPr>
                <w:rFonts w:hint="eastAsia"/>
                <w:color w:val="000000"/>
                <w:highlight w:val="none"/>
                <w:shd w:val="clear" w:color="auto" w:fill="auto"/>
              </w:rPr>
              <w:t>……</w:t>
            </w:r>
          </w:p>
        </w:tc>
        <w:tc>
          <w:tcPr>
            <w:tcW w:w="2608" w:type="dxa"/>
            <w:tcBorders>
              <w:top w:val="single" w:color="000000" w:sz="4" w:space="0"/>
              <w:left w:val="single" w:color="000000" w:sz="4" w:space="0"/>
              <w:bottom w:val="single" w:color="000000" w:sz="4" w:space="0"/>
              <w:right w:val="single" w:color="000000" w:sz="4" w:space="0"/>
            </w:tcBorders>
            <w:noWrap w:val="0"/>
            <w:vAlign w:val="center"/>
          </w:tcPr>
          <w:p w14:paraId="43B54E22">
            <w:pPr>
              <w:pStyle w:val="212"/>
              <w:widowControl w:val="0"/>
              <w:spacing w:before="0" w:beforeAutospacing="0" w:after="0" w:afterAutospacing="0"/>
              <w:jc w:val="center"/>
              <w:rPr>
                <w:color w:val="000000"/>
                <w:highlight w:val="none"/>
                <w:shd w:val="clear" w:color="auto" w:fill="auto"/>
              </w:rPr>
            </w:pPr>
            <w:r>
              <w:rPr>
                <w:color w:val="000000"/>
                <w:highlight w:val="none"/>
                <w:shd w:val="clear" w:color="auto" w:fill="auto"/>
              </w:rPr>
              <w:t> </w:t>
            </w:r>
          </w:p>
        </w:tc>
        <w:tc>
          <w:tcPr>
            <w:tcW w:w="1247" w:type="dxa"/>
            <w:tcBorders>
              <w:top w:val="single" w:color="000000" w:sz="4" w:space="0"/>
              <w:left w:val="single" w:color="000000" w:sz="4" w:space="0"/>
              <w:bottom w:val="single" w:color="000000" w:sz="4" w:space="0"/>
              <w:right w:val="single" w:color="000000" w:sz="4" w:space="0"/>
            </w:tcBorders>
            <w:noWrap w:val="0"/>
            <w:vAlign w:val="center"/>
          </w:tcPr>
          <w:p w14:paraId="58CE51E0">
            <w:pPr>
              <w:pStyle w:val="212"/>
              <w:widowControl w:val="0"/>
              <w:spacing w:before="0" w:beforeAutospacing="0" w:after="0" w:afterAutospacing="0"/>
              <w:jc w:val="center"/>
              <w:rPr>
                <w:color w:val="000000"/>
                <w:highlight w:val="none"/>
                <w:shd w:val="clear" w:color="auto" w:fill="auto"/>
              </w:rPr>
            </w:pPr>
            <w:r>
              <w:rPr>
                <w:color w:val="000000"/>
                <w:highlight w:val="none"/>
                <w:shd w:val="clear" w:color="auto" w:fill="auto"/>
              </w:rPr>
              <w:t> </w:t>
            </w:r>
          </w:p>
        </w:tc>
        <w:tc>
          <w:tcPr>
            <w:tcW w:w="1101" w:type="dxa"/>
            <w:tcBorders>
              <w:top w:val="single" w:color="000000" w:sz="4" w:space="0"/>
              <w:left w:val="single" w:color="000000" w:sz="4" w:space="0"/>
              <w:bottom w:val="single" w:color="000000" w:sz="4" w:space="0"/>
              <w:right w:val="single" w:color="000000" w:sz="4" w:space="0"/>
            </w:tcBorders>
            <w:noWrap w:val="0"/>
            <w:vAlign w:val="center"/>
          </w:tcPr>
          <w:p w14:paraId="044AEABD">
            <w:pPr>
              <w:pStyle w:val="212"/>
              <w:widowControl w:val="0"/>
              <w:spacing w:before="0" w:beforeAutospacing="0" w:after="0" w:afterAutospacing="0"/>
              <w:jc w:val="center"/>
              <w:rPr>
                <w:color w:val="000000"/>
                <w:highlight w:val="none"/>
                <w:shd w:val="clear" w:color="auto" w:fill="auto"/>
              </w:rPr>
            </w:pPr>
            <w:r>
              <w:rPr>
                <w:color w:val="000000"/>
                <w:highlight w:val="none"/>
                <w:shd w:val="clear" w:color="auto" w:fill="auto"/>
              </w:rPr>
              <w:t> </w:t>
            </w:r>
          </w:p>
        </w:tc>
      </w:tr>
    </w:tbl>
    <w:p w14:paraId="09EE6467">
      <w:pPr>
        <w:pStyle w:val="212"/>
        <w:widowControl w:val="0"/>
        <w:spacing w:before="0" w:beforeAutospacing="0" w:after="0" w:afterAutospacing="0"/>
        <w:jc w:val="both"/>
        <w:rPr>
          <w:rFonts w:hint="eastAsia"/>
          <w:color w:val="000000"/>
          <w:highlight w:val="none"/>
          <w:shd w:val="clear" w:color="auto" w:fill="auto"/>
        </w:rPr>
      </w:pPr>
      <w:r>
        <w:rPr>
          <w:rFonts w:hint="eastAsia"/>
          <w:color w:val="000000"/>
          <w:highlight w:val="none"/>
          <w:shd w:val="clear" w:color="auto" w:fill="auto"/>
        </w:rPr>
        <w:t>注： 行数不够，可自行添加。</w:t>
      </w:r>
    </w:p>
    <w:p w14:paraId="49B92587">
      <w:pPr>
        <w:pStyle w:val="212"/>
        <w:widowControl w:val="0"/>
        <w:spacing w:before="0" w:beforeAutospacing="0" w:after="0" w:afterAutospacing="0"/>
        <w:jc w:val="both"/>
        <w:rPr>
          <w:rFonts w:hint="eastAsia"/>
          <w:color w:val="000000"/>
          <w:highlight w:val="none"/>
          <w:shd w:val="clear" w:color="auto" w:fill="auto"/>
        </w:rPr>
      </w:pPr>
    </w:p>
    <w:p w14:paraId="4D2FCBA0">
      <w:pPr>
        <w:pStyle w:val="212"/>
        <w:widowControl w:val="0"/>
        <w:spacing w:before="0" w:beforeAutospacing="0" w:after="0" w:afterAutospacing="0"/>
        <w:ind w:left="0" w:firstLine="4620"/>
        <w:jc w:val="both"/>
      </w:pPr>
      <w:r>
        <w:rPr>
          <w:rFonts w:hint="eastAsia"/>
          <w:color w:val="000000"/>
        </w:rPr>
        <w:t>供应商全称（加盖CA电子签章）：</w:t>
      </w:r>
    </w:p>
    <w:p w14:paraId="23445EFD">
      <w:pPr>
        <w:pStyle w:val="212"/>
        <w:spacing w:beforeAutospacing="0" w:afterAutospacing="0"/>
        <w:ind w:left="0" w:firstLine="4620"/>
        <w:jc w:val="both"/>
        <w:rPr>
          <w:rFonts w:hint="eastAsia"/>
          <w:color w:val="000000"/>
        </w:rPr>
      </w:pPr>
    </w:p>
    <w:p w14:paraId="5CF09B6C">
      <w:pPr>
        <w:pStyle w:val="212"/>
        <w:spacing w:beforeAutospacing="0" w:afterAutospacing="0"/>
        <w:ind w:firstLine="480"/>
        <w:jc w:val="center"/>
        <w:rPr>
          <w:highlight w:val="none"/>
        </w:rPr>
      </w:pPr>
      <w:r>
        <w:rPr>
          <w:rFonts w:hint="eastAsia"/>
          <w:color w:val="000000"/>
          <w:lang w:val="en-US" w:eastAsia="zh-CN"/>
        </w:rPr>
        <w:t xml:space="preserve">                        </w:t>
      </w:r>
      <w:r>
        <w:rPr>
          <w:rFonts w:hint="eastAsia"/>
          <w:color w:val="000000"/>
        </w:rPr>
        <w:t>日期：</w:t>
      </w:r>
      <w:r>
        <w:rPr>
          <w:rFonts w:hint="eastAsia" w:ascii="宋体" w:hAnsi="宋体" w:eastAsia="宋体" w:cs="宋体"/>
          <w:color w:val="000000"/>
          <w:highlight w:val="none"/>
        </w:rPr>
        <w:t xml:space="preserve"> </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年</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月</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日</w:t>
      </w:r>
    </w:p>
    <w:p w14:paraId="721D1F3C">
      <w:pPr>
        <w:pStyle w:val="212"/>
        <w:spacing w:beforeAutospacing="0" w:afterAutospacing="0"/>
        <w:ind w:left="0" w:firstLine="5100"/>
        <w:jc w:val="both"/>
      </w:pPr>
    </w:p>
    <w:p w14:paraId="5A9205A8">
      <w:pPr>
        <w:pStyle w:val="212"/>
        <w:widowControl w:val="0"/>
        <w:spacing w:before="0" w:beforeAutospacing="0" w:after="0" w:afterAutospacing="0"/>
        <w:jc w:val="center"/>
        <w:rPr>
          <w:color w:val="000000"/>
          <w:highlight w:val="none"/>
          <w:shd w:val="clear" w:color="auto" w:fill="auto"/>
        </w:rPr>
      </w:pPr>
    </w:p>
    <w:p w14:paraId="5FA40055">
      <w:pPr>
        <w:pStyle w:val="212"/>
        <w:widowControl w:val="0"/>
        <w:spacing w:before="0" w:beforeAutospacing="0" w:after="0" w:afterAutospacing="0"/>
        <w:jc w:val="center"/>
        <w:rPr>
          <w:color w:val="000000"/>
          <w:highlight w:val="none"/>
          <w:shd w:val="clear" w:color="auto" w:fill="auto"/>
        </w:rPr>
      </w:pPr>
      <w:r>
        <w:rPr>
          <w:color w:val="000000"/>
          <w:highlight w:val="none"/>
          <w:shd w:val="clear" w:color="auto" w:fill="auto"/>
        </w:rPr>
        <w:t> </w:t>
      </w:r>
    </w:p>
    <w:p w14:paraId="1E1F2AEF">
      <w:pPr>
        <w:pStyle w:val="212"/>
        <w:widowControl w:val="0"/>
        <w:spacing w:before="0" w:beforeAutospacing="0" w:after="0" w:afterAutospacing="0"/>
        <w:jc w:val="center"/>
        <w:rPr>
          <w:color w:val="000000"/>
          <w:highlight w:val="none"/>
          <w:shd w:val="clear" w:color="auto" w:fill="auto"/>
        </w:rPr>
      </w:pPr>
      <w:r>
        <w:rPr>
          <w:color w:val="000000"/>
          <w:highlight w:val="none"/>
          <w:shd w:val="clear" w:color="auto" w:fill="auto"/>
        </w:rPr>
        <w:t> </w:t>
      </w:r>
    </w:p>
    <w:p w14:paraId="5A0DDC59">
      <w:pPr>
        <w:pStyle w:val="212"/>
        <w:widowControl w:val="0"/>
        <w:spacing w:before="0" w:beforeAutospacing="0" w:after="0" w:afterAutospacing="0"/>
        <w:jc w:val="center"/>
        <w:rPr>
          <w:color w:val="000000"/>
          <w:highlight w:val="none"/>
          <w:shd w:val="clear" w:color="auto" w:fill="auto"/>
        </w:rPr>
      </w:pPr>
      <w:r>
        <w:rPr>
          <w:color w:val="000000"/>
          <w:highlight w:val="none"/>
          <w:shd w:val="clear" w:color="auto" w:fill="auto"/>
        </w:rPr>
        <w:t> </w:t>
      </w:r>
    </w:p>
    <w:p w14:paraId="769AC3B0">
      <w:pPr>
        <w:pStyle w:val="212"/>
        <w:widowControl w:val="0"/>
        <w:spacing w:before="0" w:beforeAutospacing="0" w:after="0" w:afterAutospacing="0"/>
        <w:jc w:val="both"/>
        <w:rPr>
          <w:color w:val="000000"/>
          <w:highlight w:val="none"/>
          <w:shd w:val="clear" w:color="auto" w:fill="auto"/>
        </w:rPr>
      </w:pPr>
      <w:r>
        <w:rPr>
          <w:color w:val="000000"/>
          <w:highlight w:val="none"/>
          <w:shd w:val="clear" w:color="auto" w:fill="auto"/>
        </w:rPr>
        <w:t> </w:t>
      </w:r>
    </w:p>
    <w:p w14:paraId="2AA992DF">
      <w:pPr>
        <w:pStyle w:val="212"/>
        <w:widowControl w:val="0"/>
        <w:spacing w:before="0" w:beforeAutospacing="0" w:after="0" w:afterAutospacing="0"/>
        <w:jc w:val="both"/>
        <w:rPr>
          <w:color w:val="000000"/>
          <w:highlight w:val="none"/>
          <w:shd w:val="clear" w:color="auto" w:fill="auto"/>
        </w:rPr>
      </w:pPr>
      <w:r>
        <w:rPr>
          <w:color w:val="000000"/>
          <w:highlight w:val="none"/>
          <w:shd w:val="clear" w:color="auto" w:fill="auto"/>
        </w:rPr>
        <w:t> </w:t>
      </w:r>
    </w:p>
    <w:p w14:paraId="116F6876">
      <w:pPr>
        <w:pStyle w:val="212"/>
        <w:widowControl w:val="0"/>
        <w:spacing w:before="0" w:beforeAutospacing="0" w:after="0" w:afterAutospacing="0"/>
        <w:jc w:val="both"/>
        <w:rPr>
          <w:color w:val="000000"/>
          <w:highlight w:val="none"/>
          <w:shd w:val="clear" w:color="auto" w:fill="auto"/>
        </w:rPr>
      </w:pPr>
      <w:r>
        <w:rPr>
          <w:color w:val="000000"/>
          <w:highlight w:val="none"/>
          <w:shd w:val="clear" w:color="auto" w:fill="auto"/>
        </w:rPr>
        <w:t> </w:t>
      </w:r>
    </w:p>
    <w:p w14:paraId="35A0F700">
      <w:pPr>
        <w:pStyle w:val="212"/>
        <w:widowControl w:val="0"/>
        <w:spacing w:before="0" w:beforeAutospacing="0" w:after="0" w:afterAutospacing="0"/>
        <w:jc w:val="both"/>
        <w:rPr>
          <w:color w:val="000000"/>
          <w:highlight w:val="none"/>
          <w:shd w:val="clear" w:color="auto" w:fill="auto"/>
        </w:rPr>
      </w:pPr>
      <w:r>
        <w:rPr>
          <w:color w:val="000000"/>
          <w:highlight w:val="none"/>
          <w:shd w:val="clear" w:color="auto" w:fill="auto"/>
        </w:rPr>
        <w:t> </w:t>
      </w:r>
    </w:p>
    <w:p w14:paraId="2D90815F">
      <w:pPr>
        <w:pStyle w:val="212"/>
        <w:widowControl w:val="0"/>
        <w:spacing w:before="0" w:beforeAutospacing="0" w:after="0" w:afterAutospacing="0"/>
        <w:jc w:val="both"/>
        <w:rPr>
          <w:color w:val="000000"/>
          <w:highlight w:val="none"/>
          <w:shd w:val="clear" w:color="auto" w:fill="auto"/>
        </w:rPr>
      </w:pPr>
      <w:r>
        <w:rPr>
          <w:color w:val="000000"/>
          <w:highlight w:val="none"/>
          <w:shd w:val="clear" w:color="auto" w:fill="auto"/>
        </w:rPr>
        <w:t> </w:t>
      </w:r>
    </w:p>
    <w:p w14:paraId="5E1A2AF0">
      <w:pPr>
        <w:pStyle w:val="212"/>
        <w:widowControl w:val="0"/>
        <w:spacing w:before="0" w:beforeAutospacing="0" w:after="0" w:afterAutospacing="0"/>
        <w:jc w:val="both"/>
        <w:rPr>
          <w:color w:val="000000"/>
          <w:highlight w:val="none"/>
          <w:shd w:val="clear" w:color="auto" w:fill="auto"/>
        </w:rPr>
      </w:pPr>
      <w:r>
        <w:rPr>
          <w:color w:val="000000"/>
          <w:highlight w:val="none"/>
          <w:shd w:val="clear" w:color="auto" w:fill="auto"/>
        </w:rPr>
        <w:t> </w:t>
      </w:r>
    </w:p>
    <w:p w14:paraId="4A282D9D">
      <w:pPr>
        <w:pStyle w:val="212"/>
        <w:widowControl w:val="0"/>
        <w:spacing w:before="0" w:beforeAutospacing="0" w:after="0" w:afterAutospacing="0"/>
        <w:jc w:val="both"/>
        <w:rPr>
          <w:color w:val="000000"/>
          <w:highlight w:val="none"/>
          <w:shd w:val="clear" w:color="auto" w:fill="auto"/>
        </w:rPr>
      </w:pPr>
      <w:r>
        <w:rPr>
          <w:color w:val="000000"/>
          <w:highlight w:val="none"/>
          <w:shd w:val="clear" w:color="auto" w:fill="auto"/>
        </w:rPr>
        <w:t> </w:t>
      </w:r>
    </w:p>
    <w:p w14:paraId="0E59D3A2">
      <w:pPr>
        <w:pStyle w:val="212"/>
        <w:widowControl w:val="0"/>
        <w:spacing w:before="0" w:beforeAutospacing="0" w:after="0" w:afterAutospacing="0"/>
        <w:jc w:val="both"/>
        <w:rPr>
          <w:color w:val="000000"/>
          <w:highlight w:val="none"/>
          <w:shd w:val="clear" w:color="auto" w:fill="auto"/>
        </w:rPr>
      </w:pPr>
      <w:r>
        <w:rPr>
          <w:color w:val="000000"/>
          <w:highlight w:val="none"/>
          <w:shd w:val="clear" w:color="auto" w:fill="auto"/>
        </w:rPr>
        <w:t> </w:t>
      </w:r>
    </w:p>
    <w:p w14:paraId="25E7300F">
      <w:pPr>
        <w:pStyle w:val="212"/>
        <w:widowControl w:val="0"/>
        <w:spacing w:before="0" w:beforeAutospacing="0" w:after="0" w:afterAutospacing="0"/>
        <w:jc w:val="center"/>
        <w:rPr>
          <w:rFonts w:hint="eastAsia" w:ascii="黑体" w:eastAsia="黑体" w:cs="黑体"/>
          <w:b/>
          <w:color w:val="000000"/>
          <w:sz w:val="32"/>
          <w:szCs w:val="32"/>
          <w:highlight w:val="none"/>
          <w:shd w:val="clear" w:color="auto" w:fill="auto"/>
        </w:rPr>
      </w:pPr>
      <w:bookmarkStart w:id="153" w:name="_Hlt26955054"/>
      <w:r>
        <w:rPr>
          <w:rFonts w:hint="eastAsia" w:ascii="黑体" w:eastAsia="黑体" w:cs="黑体"/>
          <w:b/>
          <w:color w:val="000000"/>
          <w:sz w:val="32"/>
          <w:szCs w:val="32"/>
          <w:highlight w:val="none"/>
          <w:shd w:val="clear" w:color="auto" w:fill="auto"/>
        </w:rPr>
        <w:br w:type="page" w:clear="all"/>
      </w:r>
    </w:p>
    <w:p w14:paraId="24E8B85B">
      <w:pPr>
        <w:pStyle w:val="212"/>
        <w:widowControl w:val="0"/>
        <w:spacing w:before="0" w:beforeAutospacing="0" w:after="0" w:afterAutospacing="0"/>
        <w:jc w:val="center"/>
        <w:rPr>
          <w:color w:val="000000"/>
          <w:highlight w:val="none"/>
          <w:shd w:val="clear" w:color="auto" w:fill="auto"/>
        </w:rPr>
      </w:pPr>
      <w:r>
        <w:rPr>
          <w:rFonts w:hint="eastAsia" w:ascii="黑体" w:eastAsia="黑体" w:cs="黑体"/>
          <w:b/>
          <w:color w:val="000000"/>
          <w:sz w:val="32"/>
          <w:szCs w:val="32"/>
          <w:highlight w:val="none"/>
          <w:shd w:val="clear" w:color="auto" w:fill="auto"/>
        </w:rPr>
        <w:t>十</w:t>
      </w:r>
      <w:r>
        <w:rPr>
          <w:rFonts w:hint="eastAsia" w:ascii="黑体" w:eastAsia="黑体" w:cs="黑体"/>
          <w:b/>
          <w:color w:val="000000"/>
          <w:sz w:val="32"/>
          <w:szCs w:val="32"/>
          <w:highlight w:val="none"/>
          <w:shd w:val="clear" w:color="auto" w:fill="auto"/>
          <w:lang w:val="en-US" w:eastAsia="zh-CN"/>
        </w:rPr>
        <w:t>三</w:t>
      </w:r>
      <w:r>
        <w:rPr>
          <w:rFonts w:hint="eastAsia" w:ascii="黑体" w:eastAsia="黑体" w:cs="黑体"/>
          <w:b/>
          <w:color w:val="000000"/>
          <w:sz w:val="32"/>
          <w:szCs w:val="32"/>
          <w:highlight w:val="none"/>
          <w:shd w:val="clear" w:color="auto" w:fill="auto"/>
        </w:rPr>
        <w:t>、商务要求响应及偏离表</w:t>
      </w:r>
    </w:p>
    <w:tbl>
      <w:tblPr>
        <w:tblStyle w:val="31"/>
        <w:tblW w:w="8520" w:type="dxa"/>
        <w:tblCellSpacing w:w="0" w:type="dxa"/>
        <w:tblInd w:w="-108" w:type="dxa"/>
        <w:tblLayout w:type="fixed"/>
        <w:tblCellMar>
          <w:top w:w="0" w:type="dxa"/>
          <w:left w:w="108" w:type="dxa"/>
          <w:bottom w:w="0" w:type="dxa"/>
          <w:right w:w="108" w:type="dxa"/>
        </w:tblCellMar>
      </w:tblPr>
      <w:tblGrid>
        <w:gridCol w:w="538"/>
        <w:gridCol w:w="3026"/>
        <w:gridCol w:w="2608"/>
        <w:gridCol w:w="1247"/>
        <w:gridCol w:w="1101"/>
      </w:tblGrid>
      <w:tr w14:paraId="5D4B66F3">
        <w:tblPrEx>
          <w:tblCellMar>
            <w:top w:w="0" w:type="dxa"/>
            <w:left w:w="108" w:type="dxa"/>
            <w:bottom w:w="0" w:type="dxa"/>
            <w:right w:w="108" w:type="dxa"/>
          </w:tblCellMar>
        </w:tblPrEx>
        <w:trPr>
          <w:tblCellSpacing w:w="0" w:type="dxa"/>
        </w:trPr>
        <w:tc>
          <w:tcPr>
            <w:tcW w:w="538" w:type="dxa"/>
            <w:tcBorders>
              <w:top w:val="single" w:color="000000" w:sz="4" w:space="0"/>
              <w:left w:val="single" w:color="000000" w:sz="4" w:space="0"/>
              <w:bottom w:val="single" w:color="000000" w:sz="4" w:space="0"/>
              <w:right w:val="single" w:color="000000" w:sz="4" w:space="0"/>
            </w:tcBorders>
            <w:noWrap w:val="0"/>
            <w:vAlign w:val="center"/>
          </w:tcPr>
          <w:p w14:paraId="712722C6">
            <w:pPr>
              <w:pStyle w:val="212"/>
              <w:widowControl w:val="0"/>
              <w:spacing w:before="0" w:beforeAutospacing="0" w:after="0" w:afterAutospacing="0"/>
              <w:jc w:val="center"/>
              <w:rPr>
                <w:color w:val="000000"/>
                <w:highlight w:val="none"/>
                <w:shd w:val="clear" w:color="auto" w:fill="auto"/>
              </w:rPr>
            </w:pPr>
            <w:bookmarkStart w:id="154" w:name="_Hlt26955056"/>
            <w:bookmarkStart w:id="155" w:name="_Hlt26782999"/>
            <w:bookmarkStart w:id="156" w:name="_Hlt26671343"/>
            <w:bookmarkStart w:id="157" w:name="_Hlt26580838"/>
            <w:bookmarkStart w:id="158" w:name="_Hlt26671372"/>
            <w:bookmarkStart w:id="159" w:name="_Hlt26609391"/>
            <w:bookmarkStart w:id="160" w:name="_Hlt26955064"/>
            <w:bookmarkStart w:id="161" w:name="_Hlt24879081"/>
            <w:r>
              <w:rPr>
                <w:rFonts w:hint="eastAsia"/>
                <w:color w:val="000000"/>
                <w:highlight w:val="none"/>
                <w:shd w:val="clear" w:color="auto" w:fill="auto"/>
              </w:rPr>
              <w:t>序号</w:t>
            </w:r>
          </w:p>
          <w:bookmarkEnd w:id="154"/>
          <w:bookmarkEnd w:id="155"/>
          <w:bookmarkEnd w:id="156"/>
          <w:bookmarkEnd w:id="157"/>
          <w:bookmarkEnd w:id="158"/>
          <w:bookmarkEnd w:id="159"/>
          <w:bookmarkEnd w:id="160"/>
          <w:bookmarkEnd w:id="161"/>
        </w:tc>
        <w:tc>
          <w:tcPr>
            <w:tcW w:w="3026" w:type="dxa"/>
            <w:tcBorders>
              <w:top w:val="single" w:color="000000" w:sz="4" w:space="0"/>
              <w:left w:val="single" w:color="000000" w:sz="4" w:space="0"/>
              <w:bottom w:val="single" w:color="000000" w:sz="4" w:space="0"/>
              <w:right w:val="single" w:color="000000" w:sz="4" w:space="0"/>
            </w:tcBorders>
            <w:noWrap w:val="0"/>
            <w:vAlign w:val="center"/>
          </w:tcPr>
          <w:p w14:paraId="5C39776D">
            <w:pPr>
              <w:pStyle w:val="212"/>
              <w:widowControl w:val="0"/>
              <w:spacing w:before="0" w:beforeAutospacing="0" w:after="0" w:afterAutospacing="0"/>
              <w:jc w:val="center"/>
              <w:rPr>
                <w:color w:val="000000"/>
                <w:highlight w:val="none"/>
                <w:shd w:val="clear" w:color="auto" w:fill="auto"/>
              </w:rPr>
            </w:pPr>
            <w:r>
              <w:rPr>
                <w:rFonts w:hint="eastAsia"/>
                <w:color w:val="000000"/>
                <w:highlight w:val="none"/>
                <w:shd w:val="clear" w:color="auto" w:fill="auto"/>
              </w:rPr>
              <w:t>询价文件要求</w:t>
            </w:r>
          </w:p>
        </w:tc>
        <w:tc>
          <w:tcPr>
            <w:tcW w:w="2608" w:type="dxa"/>
            <w:tcBorders>
              <w:top w:val="single" w:color="000000" w:sz="4" w:space="0"/>
              <w:left w:val="single" w:color="000000" w:sz="4" w:space="0"/>
              <w:bottom w:val="single" w:color="000000" w:sz="4" w:space="0"/>
              <w:right w:val="single" w:color="000000" w:sz="4" w:space="0"/>
            </w:tcBorders>
            <w:noWrap w:val="0"/>
            <w:vAlign w:val="center"/>
          </w:tcPr>
          <w:p w14:paraId="4B7A19C3">
            <w:pPr>
              <w:pStyle w:val="212"/>
              <w:widowControl w:val="0"/>
              <w:spacing w:before="0" w:beforeAutospacing="0" w:after="0" w:afterAutospacing="0"/>
              <w:jc w:val="center"/>
              <w:rPr>
                <w:color w:val="000000"/>
                <w:highlight w:val="none"/>
                <w:shd w:val="clear" w:color="auto" w:fill="auto"/>
              </w:rPr>
            </w:pPr>
            <w:r>
              <w:rPr>
                <w:rFonts w:hint="eastAsia"/>
                <w:color w:val="000000"/>
                <w:highlight w:val="none"/>
                <w:shd w:val="clear" w:color="auto" w:fill="auto"/>
              </w:rPr>
              <w:t>响应情况</w:t>
            </w:r>
          </w:p>
        </w:tc>
        <w:tc>
          <w:tcPr>
            <w:tcW w:w="1247" w:type="dxa"/>
            <w:tcBorders>
              <w:top w:val="single" w:color="000000" w:sz="4" w:space="0"/>
              <w:left w:val="single" w:color="000000" w:sz="4" w:space="0"/>
              <w:bottom w:val="single" w:color="000000" w:sz="4" w:space="0"/>
              <w:right w:val="single" w:color="000000" w:sz="4" w:space="0"/>
            </w:tcBorders>
            <w:noWrap w:val="0"/>
            <w:vAlign w:val="center"/>
          </w:tcPr>
          <w:p w14:paraId="5DCC37F3">
            <w:pPr>
              <w:pStyle w:val="212"/>
              <w:widowControl w:val="0"/>
              <w:spacing w:before="0" w:beforeAutospacing="0" w:after="0" w:afterAutospacing="0"/>
              <w:jc w:val="center"/>
              <w:rPr>
                <w:color w:val="000000"/>
                <w:highlight w:val="none"/>
                <w:shd w:val="clear" w:color="auto" w:fill="auto"/>
              </w:rPr>
            </w:pPr>
            <w:r>
              <w:rPr>
                <w:rFonts w:hint="eastAsia"/>
                <w:color w:val="000000"/>
                <w:highlight w:val="none"/>
                <w:shd w:val="clear" w:color="auto" w:fill="auto"/>
              </w:rPr>
              <w:t>超出、符合或偏离</w:t>
            </w:r>
          </w:p>
        </w:tc>
        <w:tc>
          <w:tcPr>
            <w:tcW w:w="1101" w:type="dxa"/>
            <w:tcBorders>
              <w:top w:val="single" w:color="000000" w:sz="4" w:space="0"/>
              <w:left w:val="single" w:color="000000" w:sz="4" w:space="0"/>
              <w:bottom w:val="single" w:color="000000" w:sz="4" w:space="0"/>
              <w:right w:val="single" w:color="000000" w:sz="4" w:space="0"/>
            </w:tcBorders>
            <w:noWrap w:val="0"/>
            <w:vAlign w:val="center"/>
          </w:tcPr>
          <w:p w14:paraId="34BA9B03">
            <w:pPr>
              <w:pStyle w:val="212"/>
              <w:widowControl w:val="0"/>
              <w:spacing w:before="0" w:beforeAutospacing="0" w:after="0" w:afterAutospacing="0"/>
              <w:jc w:val="center"/>
              <w:rPr>
                <w:color w:val="000000"/>
                <w:highlight w:val="none"/>
                <w:shd w:val="clear" w:color="auto" w:fill="auto"/>
              </w:rPr>
            </w:pPr>
            <w:r>
              <w:rPr>
                <w:rFonts w:hint="eastAsia"/>
                <w:color w:val="000000"/>
                <w:highlight w:val="none"/>
                <w:shd w:val="clear" w:color="auto" w:fill="auto"/>
              </w:rPr>
              <w:t>证明</w:t>
            </w:r>
          </w:p>
          <w:p w14:paraId="5BEE3F69">
            <w:pPr>
              <w:pStyle w:val="212"/>
              <w:widowControl w:val="0"/>
              <w:spacing w:before="0" w:beforeAutospacing="0" w:after="0" w:afterAutospacing="0"/>
              <w:jc w:val="center"/>
              <w:rPr>
                <w:rFonts w:eastAsia="宋体"/>
                <w:color w:val="000000"/>
                <w:highlight w:val="none"/>
                <w:shd w:val="clear" w:color="auto" w:fill="auto"/>
                <w:lang w:val="en-US" w:eastAsia="zh-CN"/>
              </w:rPr>
            </w:pPr>
            <w:r>
              <w:rPr>
                <w:rFonts w:hint="eastAsia"/>
                <w:color w:val="000000"/>
                <w:highlight w:val="none"/>
                <w:shd w:val="clear" w:color="auto" w:fill="auto"/>
              </w:rPr>
              <w:t>材料</w:t>
            </w:r>
            <w:r>
              <w:rPr>
                <w:rFonts w:hint="eastAsia"/>
                <w:color w:val="000000"/>
                <w:highlight w:val="none"/>
                <w:shd w:val="clear" w:color="auto" w:fill="auto"/>
                <w:lang w:eastAsia="zh-CN"/>
              </w:rPr>
              <w:t>（</w:t>
            </w:r>
            <w:r>
              <w:rPr>
                <w:rFonts w:hint="eastAsia"/>
                <w:color w:val="000000"/>
                <w:highlight w:val="none"/>
                <w:shd w:val="clear" w:color="auto" w:fill="auto"/>
                <w:lang w:val="en-US" w:eastAsia="zh-CN"/>
              </w:rPr>
              <w:t>如有）</w:t>
            </w:r>
          </w:p>
        </w:tc>
      </w:tr>
      <w:tr w14:paraId="62EED38C">
        <w:tblPrEx>
          <w:tblCellMar>
            <w:top w:w="0" w:type="dxa"/>
            <w:left w:w="108" w:type="dxa"/>
            <w:bottom w:w="0" w:type="dxa"/>
            <w:right w:w="108" w:type="dxa"/>
          </w:tblCellMar>
        </w:tblPrEx>
        <w:trPr>
          <w:trHeight w:val="640" w:hRule="atLeast"/>
          <w:tblCellSpacing w:w="0" w:type="dxa"/>
        </w:trPr>
        <w:tc>
          <w:tcPr>
            <w:tcW w:w="538" w:type="dxa"/>
            <w:tcBorders>
              <w:top w:val="single" w:color="000000" w:sz="4" w:space="0"/>
              <w:left w:val="single" w:color="000000" w:sz="4" w:space="0"/>
              <w:bottom w:val="single" w:color="000000" w:sz="4" w:space="0"/>
              <w:right w:val="single" w:color="000000" w:sz="4" w:space="0"/>
            </w:tcBorders>
            <w:noWrap w:val="0"/>
            <w:vAlign w:val="center"/>
          </w:tcPr>
          <w:p w14:paraId="5C98146A">
            <w:pPr>
              <w:pStyle w:val="212"/>
              <w:widowControl w:val="0"/>
              <w:spacing w:before="0" w:beforeAutospacing="0" w:after="0" w:afterAutospacing="0"/>
              <w:jc w:val="center"/>
              <w:rPr>
                <w:color w:val="000000"/>
                <w:highlight w:val="none"/>
                <w:shd w:val="clear" w:color="auto" w:fill="auto"/>
              </w:rPr>
            </w:pPr>
            <w:r>
              <w:rPr>
                <w:color w:val="000000"/>
                <w:highlight w:val="none"/>
                <w:shd w:val="clear" w:color="auto" w:fill="auto"/>
              </w:rPr>
              <w:t> </w:t>
            </w:r>
          </w:p>
        </w:tc>
        <w:tc>
          <w:tcPr>
            <w:tcW w:w="3026" w:type="dxa"/>
            <w:tcBorders>
              <w:top w:val="single" w:color="000000" w:sz="4" w:space="0"/>
              <w:left w:val="single" w:color="000000" w:sz="4" w:space="0"/>
              <w:bottom w:val="single" w:color="000000" w:sz="4" w:space="0"/>
              <w:right w:val="single" w:color="000000" w:sz="4" w:space="0"/>
            </w:tcBorders>
            <w:noWrap w:val="0"/>
            <w:vAlign w:val="center"/>
          </w:tcPr>
          <w:p w14:paraId="0B716B1A">
            <w:pPr>
              <w:pStyle w:val="212"/>
              <w:widowControl w:val="0"/>
              <w:spacing w:before="0" w:beforeAutospacing="0" w:after="0" w:afterAutospacing="0"/>
              <w:jc w:val="center"/>
              <w:rPr>
                <w:color w:val="000000"/>
                <w:highlight w:val="none"/>
                <w:shd w:val="clear" w:color="auto" w:fill="auto"/>
              </w:rPr>
            </w:pPr>
            <w:r>
              <w:rPr>
                <w:color w:val="000000"/>
                <w:highlight w:val="none"/>
                <w:shd w:val="clear" w:color="auto" w:fill="auto"/>
              </w:rPr>
              <w:t> </w:t>
            </w:r>
          </w:p>
        </w:tc>
        <w:tc>
          <w:tcPr>
            <w:tcW w:w="2608" w:type="dxa"/>
            <w:tcBorders>
              <w:top w:val="single" w:color="000000" w:sz="4" w:space="0"/>
              <w:left w:val="single" w:color="000000" w:sz="4" w:space="0"/>
              <w:bottom w:val="single" w:color="000000" w:sz="4" w:space="0"/>
              <w:right w:val="single" w:color="000000" w:sz="4" w:space="0"/>
            </w:tcBorders>
            <w:noWrap w:val="0"/>
            <w:vAlign w:val="center"/>
          </w:tcPr>
          <w:p w14:paraId="00F6969F">
            <w:pPr>
              <w:pStyle w:val="212"/>
              <w:widowControl w:val="0"/>
              <w:spacing w:before="0" w:beforeAutospacing="0" w:after="0" w:afterAutospacing="0"/>
              <w:jc w:val="center"/>
              <w:rPr>
                <w:color w:val="000000"/>
                <w:highlight w:val="none"/>
                <w:shd w:val="clear" w:color="auto" w:fill="auto"/>
              </w:rPr>
            </w:pPr>
            <w:r>
              <w:rPr>
                <w:color w:val="000000"/>
                <w:highlight w:val="none"/>
                <w:shd w:val="clear" w:color="auto" w:fill="auto"/>
              </w:rPr>
              <w:t> </w:t>
            </w:r>
          </w:p>
        </w:tc>
        <w:tc>
          <w:tcPr>
            <w:tcW w:w="1247" w:type="dxa"/>
            <w:tcBorders>
              <w:top w:val="single" w:color="000000" w:sz="4" w:space="0"/>
              <w:left w:val="single" w:color="000000" w:sz="4" w:space="0"/>
              <w:bottom w:val="single" w:color="000000" w:sz="4" w:space="0"/>
              <w:right w:val="single" w:color="000000" w:sz="4" w:space="0"/>
            </w:tcBorders>
            <w:noWrap w:val="0"/>
            <w:vAlign w:val="center"/>
          </w:tcPr>
          <w:p w14:paraId="1F447C13">
            <w:pPr>
              <w:pStyle w:val="212"/>
              <w:widowControl w:val="0"/>
              <w:spacing w:before="0" w:beforeAutospacing="0" w:after="0" w:afterAutospacing="0"/>
              <w:jc w:val="center"/>
              <w:rPr>
                <w:color w:val="000000"/>
                <w:highlight w:val="none"/>
                <w:shd w:val="clear" w:color="auto" w:fill="auto"/>
              </w:rPr>
            </w:pPr>
            <w:r>
              <w:rPr>
                <w:color w:val="000000"/>
                <w:highlight w:val="none"/>
                <w:shd w:val="clear" w:color="auto" w:fill="auto"/>
              </w:rPr>
              <w:t> </w:t>
            </w:r>
          </w:p>
        </w:tc>
        <w:tc>
          <w:tcPr>
            <w:tcW w:w="1101" w:type="dxa"/>
            <w:tcBorders>
              <w:top w:val="single" w:color="000000" w:sz="4" w:space="0"/>
              <w:left w:val="single" w:color="000000" w:sz="4" w:space="0"/>
              <w:bottom w:val="single" w:color="000000" w:sz="4" w:space="0"/>
              <w:right w:val="single" w:color="000000" w:sz="4" w:space="0"/>
            </w:tcBorders>
            <w:noWrap w:val="0"/>
            <w:vAlign w:val="center"/>
          </w:tcPr>
          <w:p w14:paraId="03EE3274">
            <w:pPr>
              <w:pStyle w:val="212"/>
              <w:widowControl w:val="0"/>
              <w:spacing w:before="0" w:beforeAutospacing="0" w:after="0" w:afterAutospacing="0"/>
              <w:jc w:val="center"/>
              <w:rPr>
                <w:color w:val="000000"/>
                <w:highlight w:val="none"/>
                <w:shd w:val="clear" w:color="auto" w:fill="auto"/>
              </w:rPr>
            </w:pPr>
            <w:r>
              <w:rPr>
                <w:color w:val="000000"/>
                <w:highlight w:val="none"/>
                <w:shd w:val="clear" w:color="auto" w:fill="auto"/>
              </w:rPr>
              <w:t> </w:t>
            </w:r>
          </w:p>
        </w:tc>
      </w:tr>
      <w:tr w14:paraId="1F7FD8BB">
        <w:tblPrEx>
          <w:tblCellMar>
            <w:top w:w="0" w:type="dxa"/>
            <w:left w:w="108" w:type="dxa"/>
            <w:bottom w:w="0" w:type="dxa"/>
            <w:right w:w="108" w:type="dxa"/>
          </w:tblCellMar>
        </w:tblPrEx>
        <w:trPr>
          <w:trHeight w:val="640" w:hRule="atLeast"/>
          <w:tblCellSpacing w:w="0" w:type="dxa"/>
        </w:trPr>
        <w:tc>
          <w:tcPr>
            <w:tcW w:w="538" w:type="dxa"/>
            <w:tcBorders>
              <w:top w:val="single" w:color="000000" w:sz="4" w:space="0"/>
              <w:left w:val="single" w:color="000000" w:sz="4" w:space="0"/>
              <w:bottom w:val="single" w:color="000000" w:sz="4" w:space="0"/>
              <w:right w:val="single" w:color="000000" w:sz="4" w:space="0"/>
            </w:tcBorders>
            <w:noWrap w:val="0"/>
            <w:vAlign w:val="center"/>
          </w:tcPr>
          <w:p w14:paraId="0F39FE2D">
            <w:pPr>
              <w:pStyle w:val="212"/>
              <w:widowControl w:val="0"/>
              <w:spacing w:before="0" w:beforeAutospacing="0" w:after="0" w:afterAutospacing="0"/>
              <w:jc w:val="center"/>
              <w:rPr>
                <w:color w:val="000000"/>
                <w:highlight w:val="none"/>
                <w:shd w:val="clear" w:color="auto" w:fill="auto"/>
              </w:rPr>
            </w:pPr>
            <w:r>
              <w:rPr>
                <w:color w:val="000000"/>
                <w:highlight w:val="none"/>
                <w:shd w:val="clear" w:color="auto" w:fill="auto"/>
              </w:rPr>
              <w:t> </w:t>
            </w:r>
          </w:p>
        </w:tc>
        <w:tc>
          <w:tcPr>
            <w:tcW w:w="3026" w:type="dxa"/>
            <w:tcBorders>
              <w:top w:val="single" w:color="000000" w:sz="4" w:space="0"/>
              <w:left w:val="single" w:color="000000" w:sz="4" w:space="0"/>
              <w:bottom w:val="single" w:color="000000" w:sz="4" w:space="0"/>
              <w:right w:val="single" w:color="000000" w:sz="4" w:space="0"/>
            </w:tcBorders>
            <w:noWrap w:val="0"/>
            <w:vAlign w:val="center"/>
          </w:tcPr>
          <w:p w14:paraId="46EC15F4">
            <w:pPr>
              <w:pStyle w:val="212"/>
              <w:widowControl w:val="0"/>
              <w:spacing w:before="0" w:beforeAutospacing="0" w:after="0" w:afterAutospacing="0"/>
              <w:jc w:val="center"/>
              <w:rPr>
                <w:color w:val="000000"/>
                <w:highlight w:val="none"/>
                <w:shd w:val="clear" w:color="auto" w:fill="auto"/>
              </w:rPr>
            </w:pPr>
            <w:r>
              <w:rPr>
                <w:color w:val="000000"/>
                <w:highlight w:val="none"/>
                <w:shd w:val="clear" w:color="auto" w:fill="auto"/>
              </w:rPr>
              <w:t> </w:t>
            </w:r>
          </w:p>
        </w:tc>
        <w:tc>
          <w:tcPr>
            <w:tcW w:w="2608" w:type="dxa"/>
            <w:tcBorders>
              <w:top w:val="single" w:color="000000" w:sz="4" w:space="0"/>
              <w:left w:val="single" w:color="000000" w:sz="4" w:space="0"/>
              <w:bottom w:val="single" w:color="000000" w:sz="4" w:space="0"/>
              <w:right w:val="single" w:color="000000" w:sz="4" w:space="0"/>
            </w:tcBorders>
            <w:noWrap w:val="0"/>
            <w:vAlign w:val="center"/>
          </w:tcPr>
          <w:p w14:paraId="521DAFE8">
            <w:pPr>
              <w:pStyle w:val="212"/>
              <w:widowControl w:val="0"/>
              <w:spacing w:before="0" w:beforeAutospacing="0" w:after="0" w:afterAutospacing="0"/>
              <w:jc w:val="center"/>
              <w:rPr>
                <w:color w:val="000000"/>
                <w:highlight w:val="none"/>
                <w:shd w:val="clear" w:color="auto" w:fill="auto"/>
              </w:rPr>
            </w:pPr>
            <w:r>
              <w:rPr>
                <w:color w:val="000000"/>
                <w:highlight w:val="none"/>
                <w:shd w:val="clear" w:color="auto" w:fill="auto"/>
              </w:rPr>
              <w:t> </w:t>
            </w:r>
          </w:p>
        </w:tc>
        <w:tc>
          <w:tcPr>
            <w:tcW w:w="1247" w:type="dxa"/>
            <w:tcBorders>
              <w:top w:val="single" w:color="000000" w:sz="4" w:space="0"/>
              <w:left w:val="single" w:color="000000" w:sz="4" w:space="0"/>
              <w:bottom w:val="single" w:color="000000" w:sz="4" w:space="0"/>
              <w:right w:val="single" w:color="000000" w:sz="4" w:space="0"/>
            </w:tcBorders>
            <w:noWrap w:val="0"/>
            <w:vAlign w:val="center"/>
          </w:tcPr>
          <w:p w14:paraId="08978460">
            <w:pPr>
              <w:pStyle w:val="212"/>
              <w:widowControl w:val="0"/>
              <w:spacing w:before="0" w:beforeAutospacing="0" w:after="0" w:afterAutospacing="0"/>
              <w:jc w:val="center"/>
              <w:rPr>
                <w:color w:val="000000"/>
                <w:highlight w:val="none"/>
                <w:shd w:val="clear" w:color="auto" w:fill="auto"/>
              </w:rPr>
            </w:pPr>
            <w:r>
              <w:rPr>
                <w:color w:val="000000"/>
                <w:highlight w:val="none"/>
                <w:shd w:val="clear" w:color="auto" w:fill="auto"/>
              </w:rPr>
              <w:t> </w:t>
            </w:r>
          </w:p>
        </w:tc>
        <w:tc>
          <w:tcPr>
            <w:tcW w:w="1101" w:type="dxa"/>
            <w:tcBorders>
              <w:top w:val="single" w:color="000000" w:sz="4" w:space="0"/>
              <w:left w:val="single" w:color="000000" w:sz="4" w:space="0"/>
              <w:bottom w:val="single" w:color="000000" w:sz="4" w:space="0"/>
              <w:right w:val="single" w:color="000000" w:sz="4" w:space="0"/>
            </w:tcBorders>
            <w:noWrap w:val="0"/>
            <w:vAlign w:val="center"/>
          </w:tcPr>
          <w:p w14:paraId="724B5519">
            <w:pPr>
              <w:pStyle w:val="212"/>
              <w:widowControl w:val="0"/>
              <w:spacing w:before="0" w:beforeAutospacing="0" w:after="0" w:afterAutospacing="0"/>
              <w:jc w:val="center"/>
              <w:rPr>
                <w:color w:val="000000"/>
                <w:highlight w:val="none"/>
                <w:shd w:val="clear" w:color="auto" w:fill="auto"/>
              </w:rPr>
            </w:pPr>
            <w:r>
              <w:rPr>
                <w:color w:val="000000"/>
                <w:highlight w:val="none"/>
                <w:shd w:val="clear" w:color="auto" w:fill="auto"/>
              </w:rPr>
              <w:t> </w:t>
            </w:r>
          </w:p>
        </w:tc>
      </w:tr>
      <w:tr w14:paraId="3300E566">
        <w:tblPrEx>
          <w:tblCellMar>
            <w:top w:w="0" w:type="dxa"/>
            <w:left w:w="108" w:type="dxa"/>
            <w:bottom w:w="0" w:type="dxa"/>
            <w:right w:w="108" w:type="dxa"/>
          </w:tblCellMar>
        </w:tblPrEx>
        <w:trPr>
          <w:trHeight w:val="640" w:hRule="atLeast"/>
          <w:tblCellSpacing w:w="0" w:type="dxa"/>
        </w:trPr>
        <w:tc>
          <w:tcPr>
            <w:tcW w:w="538" w:type="dxa"/>
            <w:tcBorders>
              <w:top w:val="single" w:color="000000" w:sz="4" w:space="0"/>
              <w:left w:val="single" w:color="000000" w:sz="4" w:space="0"/>
              <w:bottom w:val="single" w:color="000000" w:sz="4" w:space="0"/>
              <w:right w:val="single" w:color="000000" w:sz="4" w:space="0"/>
            </w:tcBorders>
            <w:noWrap w:val="0"/>
            <w:vAlign w:val="center"/>
          </w:tcPr>
          <w:p w14:paraId="48FC47B7">
            <w:pPr>
              <w:pStyle w:val="212"/>
              <w:widowControl w:val="0"/>
              <w:spacing w:before="0" w:beforeAutospacing="0" w:after="0" w:afterAutospacing="0"/>
              <w:jc w:val="center"/>
              <w:rPr>
                <w:color w:val="000000"/>
                <w:highlight w:val="none"/>
                <w:shd w:val="clear" w:color="auto" w:fill="auto"/>
              </w:rPr>
            </w:pPr>
            <w:r>
              <w:rPr>
                <w:color w:val="000000"/>
                <w:highlight w:val="none"/>
                <w:shd w:val="clear" w:color="auto" w:fill="auto"/>
              </w:rPr>
              <w:t> </w:t>
            </w:r>
          </w:p>
        </w:tc>
        <w:tc>
          <w:tcPr>
            <w:tcW w:w="3026" w:type="dxa"/>
            <w:tcBorders>
              <w:top w:val="single" w:color="000000" w:sz="4" w:space="0"/>
              <w:left w:val="single" w:color="000000" w:sz="4" w:space="0"/>
              <w:bottom w:val="single" w:color="000000" w:sz="4" w:space="0"/>
              <w:right w:val="single" w:color="000000" w:sz="4" w:space="0"/>
            </w:tcBorders>
            <w:noWrap w:val="0"/>
            <w:vAlign w:val="center"/>
          </w:tcPr>
          <w:p w14:paraId="3A38C2A4">
            <w:pPr>
              <w:pStyle w:val="212"/>
              <w:widowControl w:val="0"/>
              <w:spacing w:before="0" w:beforeAutospacing="0" w:after="0" w:afterAutospacing="0"/>
              <w:jc w:val="center"/>
              <w:rPr>
                <w:color w:val="000000"/>
                <w:highlight w:val="none"/>
                <w:shd w:val="clear" w:color="auto" w:fill="auto"/>
              </w:rPr>
            </w:pPr>
            <w:r>
              <w:rPr>
                <w:color w:val="000000"/>
                <w:highlight w:val="none"/>
                <w:shd w:val="clear" w:color="auto" w:fill="auto"/>
              </w:rPr>
              <w:t> </w:t>
            </w:r>
          </w:p>
        </w:tc>
        <w:tc>
          <w:tcPr>
            <w:tcW w:w="2608" w:type="dxa"/>
            <w:tcBorders>
              <w:top w:val="single" w:color="000000" w:sz="4" w:space="0"/>
              <w:left w:val="single" w:color="000000" w:sz="4" w:space="0"/>
              <w:bottom w:val="single" w:color="000000" w:sz="4" w:space="0"/>
              <w:right w:val="single" w:color="000000" w:sz="4" w:space="0"/>
            </w:tcBorders>
            <w:noWrap w:val="0"/>
            <w:vAlign w:val="center"/>
          </w:tcPr>
          <w:p w14:paraId="5B965754">
            <w:pPr>
              <w:pStyle w:val="212"/>
              <w:widowControl w:val="0"/>
              <w:spacing w:before="0" w:beforeAutospacing="0" w:after="0" w:afterAutospacing="0"/>
              <w:jc w:val="center"/>
              <w:rPr>
                <w:color w:val="000000"/>
                <w:highlight w:val="none"/>
                <w:shd w:val="clear" w:color="auto" w:fill="auto"/>
              </w:rPr>
            </w:pPr>
            <w:r>
              <w:rPr>
                <w:color w:val="000000"/>
                <w:highlight w:val="none"/>
                <w:shd w:val="clear" w:color="auto" w:fill="auto"/>
              </w:rPr>
              <w:t> </w:t>
            </w:r>
          </w:p>
        </w:tc>
        <w:tc>
          <w:tcPr>
            <w:tcW w:w="1247" w:type="dxa"/>
            <w:tcBorders>
              <w:top w:val="single" w:color="000000" w:sz="4" w:space="0"/>
              <w:left w:val="single" w:color="000000" w:sz="4" w:space="0"/>
              <w:bottom w:val="single" w:color="000000" w:sz="4" w:space="0"/>
              <w:right w:val="single" w:color="000000" w:sz="4" w:space="0"/>
            </w:tcBorders>
            <w:noWrap w:val="0"/>
            <w:vAlign w:val="center"/>
          </w:tcPr>
          <w:p w14:paraId="6B0198ED">
            <w:pPr>
              <w:pStyle w:val="212"/>
              <w:widowControl w:val="0"/>
              <w:spacing w:before="0" w:beforeAutospacing="0" w:after="0" w:afterAutospacing="0"/>
              <w:jc w:val="center"/>
              <w:rPr>
                <w:color w:val="000000"/>
                <w:highlight w:val="none"/>
                <w:shd w:val="clear" w:color="auto" w:fill="auto"/>
              </w:rPr>
            </w:pPr>
            <w:r>
              <w:rPr>
                <w:color w:val="000000"/>
                <w:highlight w:val="none"/>
                <w:shd w:val="clear" w:color="auto" w:fill="auto"/>
              </w:rPr>
              <w:t> </w:t>
            </w:r>
          </w:p>
        </w:tc>
        <w:tc>
          <w:tcPr>
            <w:tcW w:w="1101" w:type="dxa"/>
            <w:tcBorders>
              <w:top w:val="single" w:color="000000" w:sz="4" w:space="0"/>
              <w:left w:val="single" w:color="000000" w:sz="4" w:space="0"/>
              <w:bottom w:val="single" w:color="000000" w:sz="4" w:space="0"/>
              <w:right w:val="single" w:color="000000" w:sz="4" w:space="0"/>
            </w:tcBorders>
            <w:noWrap w:val="0"/>
            <w:vAlign w:val="center"/>
          </w:tcPr>
          <w:p w14:paraId="0E7A87DA">
            <w:pPr>
              <w:pStyle w:val="212"/>
              <w:widowControl w:val="0"/>
              <w:spacing w:before="0" w:beforeAutospacing="0" w:after="0" w:afterAutospacing="0"/>
              <w:jc w:val="center"/>
              <w:rPr>
                <w:color w:val="000000"/>
                <w:highlight w:val="none"/>
                <w:shd w:val="clear" w:color="auto" w:fill="auto"/>
              </w:rPr>
            </w:pPr>
            <w:r>
              <w:rPr>
                <w:color w:val="000000"/>
                <w:highlight w:val="none"/>
                <w:shd w:val="clear" w:color="auto" w:fill="auto"/>
              </w:rPr>
              <w:t> </w:t>
            </w:r>
          </w:p>
        </w:tc>
      </w:tr>
      <w:tr w14:paraId="0DAC2A3E">
        <w:tblPrEx>
          <w:tblCellMar>
            <w:top w:w="0" w:type="dxa"/>
            <w:left w:w="108" w:type="dxa"/>
            <w:bottom w:w="0" w:type="dxa"/>
            <w:right w:w="108" w:type="dxa"/>
          </w:tblCellMar>
        </w:tblPrEx>
        <w:trPr>
          <w:trHeight w:val="640" w:hRule="atLeast"/>
          <w:tblCellSpacing w:w="0" w:type="dxa"/>
        </w:trPr>
        <w:tc>
          <w:tcPr>
            <w:tcW w:w="538" w:type="dxa"/>
            <w:tcBorders>
              <w:top w:val="single" w:color="000000" w:sz="4" w:space="0"/>
              <w:left w:val="single" w:color="000000" w:sz="4" w:space="0"/>
              <w:bottom w:val="single" w:color="000000" w:sz="4" w:space="0"/>
              <w:right w:val="single" w:color="000000" w:sz="4" w:space="0"/>
            </w:tcBorders>
            <w:noWrap w:val="0"/>
            <w:vAlign w:val="center"/>
          </w:tcPr>
          <w:p w14:paraId="2C97D1C7">
            <w:pPr>
              <w:pStyle w:val="212"/>
              <w:widowControl w:val="0"/>
              <w:spacing w:before="0" w:beforeAutospacing="0" w:after="0" w:afterAutospacing="0"/>
              <w:jc w:val="center"/>
              <w:rPr>
                <w:color w:val="000000"/>
                <w:highlight w:val="none"/>
                <w:shd w:val="clear" w:color="auto" w:fill="auto"/>
              </w:rPr>
            </w:pPr>
            <w:r>
              <w:rPr>
                <w:color w:val="000000"/>
                <w:highlight w:val="none"/>
                <w:shd w:val="clear" w:color="auto" w:fill="auto"/>
              </w:rPr>
              <w:t> </w:t>
            </w:r>
          </w:p>
        </w:tc>
        <w:tc>
          <w:tcPr>
            <w:tcW w:w="3026" w:type="dxa"/>
            <w:tcBorders>
              <w:top w:val="single" w:color="000000" w:sz="4" w:space="0"/>
              <w:left w:val="single" w:color="000000" w:sz="4" w:space="0"/>
              <w:bottom w:val="single" w:color="000000" w:sz="4" w:space="0"/>
              <w:right w:val="single" w:color="000000" w:sz="4" w:space="0"/>
            </w:tcBorders>
            <w:noWrap w:val="0"/>
            <w:vAlign w:val="center"/>
          </w:tcPr>
          <w:p w14:paraId="0E97255C">
            <w:pPr>
              <w:pStyle w:val="212"/>
              <w:widowControl w:val="0"/>
              <w:spacing w:before="0" w:beforeAutospacing="0" w:after="0" w:afterAutospacing="0"/>
              <w:jc w:val="center"/>
              <w:rPr>
                <w:color w:val="000000"/>
                <w:highlight w:val="none"/>
                <w:shd w:val="clear" w:color="auto" w:fill="auto"/>
              </w:rPr>
            </w:pPr>
            <w:r>
              <w:rPr>
                <w:color w:val="000000"/>
                <w:highlight w:val="none"/>
                <w:shd w:val="clear" w:color="auto" w:fill="auto"/>
              </w:rPr>
              <w:t> </w:t>
            </w:r>
          </w:p>
        </w:tc>
        <w:tc>
          <w:tcPr>
            <w:tcW w:w="2608" w:type="dxa"/>
            <w:tcBorders>
              <w:top w:val="single" w:color="000000" w:sz="4" w:space="0"/>
              <w:left w:val="single" w:color="000000" w:sz="4" w:space="0"/>
              <w:bottom w:val="single" w:color="000000" w:sz="4" w:space="0"/>
              <w:right w:val="single" w:color="000000" w:sz="4" w:space="0"/>
            </w:tcBorders>
            <w:noWrap w:val="0"/>
            <w:vAlign w:val="center"/>
          </w:tcPr>
          <w:p w14:paraId="629D40EB">
            <w:pPr>
              <w:pStyle w:val="212"/>
              <w:widowControl w:val="0"/>
              <w:spacing w:before="0" w:beforeAutospacing="0" w:after="0" w:afterAutospacing="0"/>
              <w:jc w:val="center"/>
              <w:rPr>
                <w:color w:val="000000"/>
                <w:highlight w:val="none"/>
                <w:shd w:val="clear" w:color="auto" w:fill="auto"/>
              </w:rPr>
            </w:pPr>
            <w:r>
              <w:rPr>
                <w:color w:val="000000"/>
                <w:highlight w:val="none"/>
                <w:shd w:val="clear" w:color="auto" w:fill="auto"/>
              </w:rPr>
              <w:t> </w:t>
            </w:r>
          </w:p>
        </w:tc>
        <w:tc>
          <w:tcPr>
            <w:tcW w:w="1247" w:type="dxa"/>
            <w:tcBorders>
              <w:top w:val="single" w:color="000000" w:sz="4" w:space="0"/>
              <w:left w:val="single" w:color="000000" w:sz="4" w:space="0"/>
              <w:bottom w:val="single" w:color="000000" w:sz="4" w:space="0"/>
              <w:right w:val="single" w:color="000000" w:sz="4" w:space="0"/>
            </w:tcBorders>
            <w:noWrap w:val="0"/>
            <w:vAlign w:val="center"/>
          </w:tcPr>
          <w:p w14:paraId="0689BC22">
            <w:pPr>
              <w:pStyle w:val="212"/>
              <w:widowControl w:val="0"/>
              <w:spacing w:before="0" w:beforeAutospacing="0" w:after="0" w:afterAutospacing="0"/>
              <w:jc w:val="center"/>
              <w:rPr>
                <w:color w:val="000000"/>
                <w:highlight w:val="none"/>
                <w:shd w:val="clear" w:color="auto" w:fill="auto"/>
              </w:rPr>
            </w:pPr>
            <w:r>
              <w:rPr>
                <w:color w:val="000000"/>
                <w:highlight w:val="none"/>
                <w:shd w:val="clear" w:color="auto" w:fill="auto"/>
              </w:rPr>
              <w:t> </w:t>
            </w:r>
          </w:p>
        </w:tc>
        <w:tc>
          <w:tcPr>
            <w:tcW w:w="1101" w:type="dxa"/>
            <w:tcBorders>
              <w:top w:val="single" w:color="000000" w:sz="4" w:space="0"/>
              <w:left w:val="single" w:color="000000" w:sz="4" w:space="0"/>
              <w:bottom w:val="single" w:color="000000" w:sz="4" w:space="0"/>
              <w:right w:val="single" w:color="000000" w:sz="4" w:space="0"/>
            </w:tcBorders>
            <w:noWrap w:val="0"/>
            <w:vAlign w:val="center"/>
          </w:tcPr>
          <w:p w14:paraId="68DE70EB">
            <w:pPr>
              <w:pStyle w:val="212"/>
              <w:widowControl w:val="0"/>
              <w:spacing w:before="0" w:beforeAutospacing="0" w:after="0" w:afterAutospacing="0"/>
              <w:jc w:val="center"/>
              <w:rPr>
                <w:color w:val="000000"/>
                <w:highlight w:val="none"/>
                <w:shd w:val="clear" w:color="auto" w:fill="auto"/>
              </w:rPr>
            </w:pPr>
            <w:r>
              <w:rPr>
                <w:color w:val="000000"/>
                <w:highlight w:val="none"/>
                <w:shd w:val="clear" w:color="auto" w:fill="auto"/>
              </w:rPr>
              <w:t> </w:t>
            </w:r>
          </w:p>
        </w:tc>
      </w:tr>
      <w:tr w14:paraId="18720D0B">
        <w:tblPrEx>
          <w:tblCellMar>
            <w:top w:w="0" w:type="dxa"/>
            <w:left w:w="108" w:type="dxa"/>
            <w:bottom w:w="0" w:type="dxa"/>
            <w:right w:w="108" w:type="dxa"/>
          </w:tblCellMar>
        </w:tblPrEx>
        <w:trPr>
          <w:trHeight w:val="640" w:hRule="atLeast"/>
          <w:tblCellSpacing w:w="0" w:type="dxa"/>
        </w:trPr>
        <w:tc>
          <w:tcPr>
            <w:tcW w:w="538" w:type="dxa"/>
            <w:tcBorders>
              <w:top w:val="single" w:color="000000" w:sz="4" w:space="0"/>
              <w:left w:val="single" w:color="000000" w:sz="4" w:space="0"/>
              <w:bottom w:val="single" w:color="000000" w:sz="4" w:space="0"/>
              <w:right w:val="single" w:color="000000" w:sz="4" w:space="0"/>
            </w:tcBorders>
            <w:noWrap w:val="0"/>
            <w:vAlign w:val="center"/>
          </w:tcPr>
          <w:p w14:paraId="09F62F65">
            <w:pPr>
              <w:pStyle w:val="212"/>
              <w:widowControl w:val="0"/>
              <w:spacing w:before="0" w:beforeAutospacing="0" w:after="0" w:afterAutospacing="0"/>
              <w:jc w:val="center"/>
              <w:rPr>
                <w:color w:val="000000"/>
                <w:highlight w:val="none"/>
                <w:shd w:val="clear" w:color="auto" w:fill="auto"/>
              </w:rPr>
            </w:pPr>
            <w:r>
              <w:rPr>
                <w:color w:val="000000"/>
                <w:highlight w:val="none"/>
                <w:shd w:val="clear" w:color="auto" w:fill="auto"/>
              </w:rPr>
              <w:t> </w:t>
            </w:r>
          </w:p>
        </w:tc>
        <w:tc>
          <w:tcPr>
            <w:tcW w:w="3026" w:type="dxa"/>
            <w:tcBorders>
              <w:top w:val="single" w:color="000000" w:sz="4" w:space="0"/>
              <w:left w:val="single" w:color="000000" w:sz="4" w:space="0"/>
              <w:bottom w:val="single" w:color="000000" w:sz="4" w:space="0"/>
              <w:right w:val="single" w:color="000000" w:sz="4" w:space="0"/>
            </w:tcBorders>
            <w:noWrap w:val="0"/>
            <w:vAlign w:val="center"/>
          </w:tcPr>
          <w:p w14:paraId="0DE5EBB4">
            <w:pPr>
              <w:pStyle w:val="212"/>
              <w:widowControl w:val="0"/>
              <w:spacing w:before="0" w:beforeAutospacing="0" w:after="0" w:afterAutospacing="0"/>
              <w:jc w:val="center"/>
              <w:rPr>
                <w:color w:val="000000"/>
                <w:highlight w:val="none"/>
                <w:shd w:val="clear" w:color="auto" w:fill="auto"/>
              </w:rPr>
            </w:pPr>
            <w:r>
              <w:rPr>
                <w:color w:val="000000"/>
                <w:highlight w:val="none"/>
                <w:shd w:val="clear" w:color="auto" w:fill="auto"/>
              </w:rPr>
              <w:t> </w:t>
            </w:r>
          </w:p>
        </w:tc>
        <w:tc>
          <w:tcPr>
            <w:tcW w:w="2608" w:type="dxa"/>
            <w:tcBorders>
              <w:top w:val="single" w:color="000000" w:sz="4" w:space="0"/>
              <w:left w:val="single" w:color="000000" w:sz="4" w:space="0"/>
              <w:bottom w:val="single" w:color="000000" w:sz="4" w:space="0"/>
              <w:right w:val="single" w:color="000000" w:sz="4" w:space="0"/>
            </w:tcBorders>
            <w:noWrap w:val="0"/>
            <w:vAlign w:val="center"/>
          </w:tcPr>
          <w:p w14:paraId="670E678A">
            <w:pPr>
              <w:pStyle w:val="212"/>
              <w:widowControl w:val="0"/>
              <w:spacing w:before="0" w:beforeAutospacing="0" w:after="0" w:afterAutospacing="0"/>
              <w:jc w:val="center"/>
              <w:rPr>
                <w:color w:val="000000"/>
                <w:highlight w:val="none"/>
                <w:shd w:val="clear" w:color="auto" w:fill="auto"/>
              </w:rPr>
            </w:pPr>
            <w:r>
              <w:rPr>
                <w:color w:val="000000"/>
                <w:highlight w:val="none"/>
                <w:shd w:val="clear" w:color="auto" w:fill="auto"/>
              </w:rPr>
              <w:t> </w:t>
            </w:r>
          </w:p>
        </w:tc>
        <w:tc>
          <w:tcPr>
            <w:tcW w:w="1247" w:type="dxa"/>
            <w:tcBorders>
              <w:top w:val="single" w:color="000000" w:sz="4" w:space="0"/>
              <w:left w:val="single" w:color="000000" w:sz="4" w:space="0"/>
              <w:bottom w:val="single" w:color="000000" w:sz="4" w:space="0"/>
              <w:right w:val="single" w:color="000000" w:sz="4" w:space="0"/>
            </w:tcBorders>
            <w:noWrap w:val="0"/>
            <w:vAlign w:val="center"/>
          </w:tcPr>
          <w:p w14:paraId="6F110725">
            <w:pPr>
              <w:pStyle w:val="212"/>
              <w:widowControl w:val="0"/>
              <w:spacing w:before="0" w:beforeAutospacing="0" w:after="0" w:afterAutospacing="0"/>
              <w:jc w:val="center"/>
              <w:rPr>
                <w:color w:val="000000"/>
                <w:highlight w:val="none"/>
                <w:shd w:val="clear" w:color="auto" w:fill="auto"/>
              </w:rPr>
            </w:pPr>
            <w:r>
              <w:rPr>
                <w:color w:val="000000"/>
                <w:highlight w:val="none"/>
                <w:shd w:val="clear" w:color="auto" w:fill="auto"/>
              </w:rPr>
              <w:t> </w:t>
            </w:r>
          </w:p>
        </w:tc>
        <w:tc>
          <w:tcPr>
            <w:tcW w:w="1101" w:type="dxa"/>
            <w:tcBorders>
              <w:top w:val="single" w:color="000000" w:sz="4" w:space="0"/>
              <w:left w:val="single" w:color="000000" w:sz="4" w:space="0"/>
              <w:bottom w:val="single" w:color="000000" w:sz="4" w:space="0"/>
              <w:right w:val="single" w:color="000000" w:sz="4" w:space="0"/>
            </w:tcBorders>
            <w:noWrap w:val="0"/>
            <w:vAlign w:val="center"/>
          </w:tcPr>
          <w:p w14:paraId="299FB1B9">
            <w:pPr>
              <w:pStyle w:val="212"/>
              <w:widowControl w:val="0"/>
              <w:spacing w:before="0" w:beforeAutospacing="0" w:after="0" w:afterAutospacing="0"/>
              <w:jc w:val="center"/>
              <w:rPr>
                <w:color w:val="000000"/>
                <w:highlight w:val="none"/>
                <w:shd w:val="clear" w:color="auto" w:fill="auto"/>
              </w:rPr>
            </w:pPr>
            <w:r>
              <w:rPr>
                <w:color w:val="000000"/>
                <w:highlight w:val="none"/>
                <w:shd w:val="clear" w:color="auto" w:fill="auto"/>
              </w:rPr>
              <w:t> </w:t>
            </w:r>
          </w:p>
        </w:tc>
      </w:tr>
      <w:tr w14:paraId="6AE3EA1D">
        <w:tblPrEx>
          <w:tblCellMar>
            <w:top w:w="0" w:type="dxa"/>
            <w:left w:w="108" w:type="dxa"/>
            <w:bottom w:w="0" w:type="dxa"/>
            <w:right w:w="108" w:type="dxa"/>
          </w:tblCellMar>
        </w:tblPrEx>
        <w:trPr>
          <w:trHeight w:val="640" w:hRule="atLeast"/>
          <w:tblCellSpacing w:w="0" w:type="dxa"/>
        </w:trPr>
        <w:tc>
          <w:tcPr>
            <w:tcW w:w="538" w:type="dxa"/>
            <w:tcBorders>
              <w:top w:val="single" w:color="000000" w:sz="4" w:space="0"/>
              <w:left w:val="single" w:color="000000" w:sz="4" w:space="0"/>
              <w:bottom w:val="single" w:color="000000" w:sz="4" w:space="0"/>
              <w:right w:val="single" w:color="000000" w:sz="4" w:space="0"/>
            </w:tcBorders>
            <w:noWrap w:val="0"/>
            <w:vAlign w:val="center"/>
          </w:tcPr>
          <w:p w14:paraId="5B4A22DF">
            <w:pPr>
              <w:pStyle w:val="212"/>
              <w:widowControl w:val="0"/>
              <w:spacing w:before="0" w:beforeAutospacing="0" w:after="0" w:afterAutospacing="0"/>
              <w:jc w:val="center"/>
              <w:rPr>
                <w:color w:val="000000"/>
                <w:highlight w:val="none"/>
                <w:shd w:val="clear" w:color="auto" w:fill="auto"/>
              </w:rPr>
            </w:pPr>
            <w:r>
              <w:rPr>
                <w:color w:val="000000"/>
                <w:highlight w:val="none"/>
                <w:shd w:val="clear" w:color="auto" w:fill="auto"/>
              </w:rPr>
              <w:t> </w:t>
            </w:r>
          </w:p>
        </w:tc>
        <w:tc>
          <w:tcPr>
            <w:tcW w:w="3026" w:type="dxa"/>
            <w:tcBorders>
              <w:top w:val="single" w:color="000000" w:sz="4" w:space="0"/>
              <w:left w:val="single" w:color="000000" w:sz="4" w:space="0"/>
              <w:bottom w:val="single" w:color="000000" w:sz="4" w:space="0"/>
              <w:right w:val="single" w:color="000000" w:sz="4" w:space="0"/>
            </w:tcBorders>
            <w:noWrap w:val="0"/>
            <w:vAlign w:val="center"/>
          </w:tcPr>
          <w:p w14:paraId="602B5531">
            <w:pPr>
              <w:pStyle w:val="212"/>
              <w:widowControl w:val="0"/>
              <w:spacing w:before="0" w:beforeAutospacing="0" w:after="0" w:afterAutospacing="0"/>
              <w:jc w:val="center"/>
              <w:rPr>
                <w:color w:val="000000"/>
                <w:highlight w:val="none"/>
                <w:shd w:val="clear" w:color="auto" w:fill="auto"/>
              </w:rPr>
            </w:pPr>
            <w:r>
              <w:rPr>
                <w:color w:val="000000"/>
                <w:highlight w:val="none"/>
                <w:shd w:val="clear" w:color="auto" w:fill="auto"/>
              </w:rPr>
              <w:t> </w:t>
            </w:r>
          </w:p>
        </w:tc>
        <w:tc>
          <w:tcPr>
            <w:tcW w:w="2608" w:type="dxa"/>
            <w:tcBorders>
              <w:top w:val="single" w:color="000000" w:sz="4" w:space="0"/>
              <w:left w:val="single" w:color="000000" w:sz="4" w:space="0"/>
              <w:bottom w:val="single" w:color="000000" w:sz="4" w:space="0"/>
              <w:right w:val="single" w:color="000000" w:sz="4" w:space="0"/>
            </w:tcBorders>
            <w:noWrap w:val="0"/>
            <w:vAlign w:val="center"/>
          </w:tcPr>
          <w:p w14:paraId="26652224">
            <w:pPr>
              <w:pStyle w:val="212"/>
              <w:widowControl w:val="0"/>
              <w:spacing w:before="0" w:beforeAutospacing="0" w:after="0" w:afterAutospacing="0"/>
              <w:jc w:val="center"/>
              <w:rPr>
                <w:color w:val="000000"/>
                <w:highlight w:val="none"/>
                <w:shd w:val="clear" w:color="auto" w:fill="auto"/>
              </w:rPr>
            </w:pPr>
            <w:r>
              <w:rPr>
                <w:color w:val="000000"/>
                <w:highlight w:val="none"/>
                <w:shd w:val="clear" w:color="auto" w:fill="auto"/>
              </w:rPr>
              <w:t> </w:t>
            </w:r>
          </w:p>
        </w:tc>
        <w:tc>
          <w:tcPr>
            <w:tcW w:w="1247" w:type="dxa"/>
            <w:tcBorders>
              <w:top w:val="single" w:color="000000" w:sz="4" w:space="0"/>
              <w:left w:val="single" w:color="000000" w:sz="4" w:space="0"/>
              <w:bottom w:val="single" w:color="000000" w:sz="4" w:space="0"/>
              <w:right w:val="single" w:color="000000" w:sz="4" w:space="0"/>
            </w:tcBorders>
            <w:noWrap w:val="0"/>
            <w:vAlign w:val="center"/>
          </w:tcPr>
          <w:p w14:paraId="7164C204">
            <w:pPr>
              <w:pStyle w:val="212"/>
              <w:widowControl w:val="0"/>
              <w:spacing w:before="0" w:beforeAutospacing="0" w:after="0" w:afterAutospacing="0"/>
              <w:jc w:val="center"/>
              <w:rPr>
                <w:color w:val="000000"/>
                <w:highlight w:val="none"/>
                <w:shd w:val="clear" w:color="auto" w:fill="auto"/>
              </w:rPr>
            </w:pPr>
            <w:r>
              <w:rPr>
                <w:color w:val="000000"/>
                <w:highlight w:val="none"/>
                <w:shd w:val="clear" w:color="auto" w:fill="auto"/>
              </w:rPr>
              <w:t> </w:t>
            </w:r>
          </w:p>
        </w:tc>
        <w:tc>
          <w:tcPr>
            <w:tcW w:w="1101" w:type="dxa"/>
            <w:tcBorders>
              <w:top w:val="single" w:color="000000" w:sz="4" w:space="0"/>
              <w:left w:val="single" w:color="000000" w:sz="4" w:space="0"/>
              <w:bottom w:val="single" w:color="000000" w:sz="4" w:space="0"/>
              <w:right w:val="single" w:color="000000" w:sz="4" w:space="0"/>
            </w:tcBorders>
            <w:noWrap w:val="0"/>
            <w:vAlign w:val="center"/>
          </w:tcPr>
          <w:p w14:paraId="118C066E">
            <w:pPr>
              <w:pStyle w:val="212"/>
              <w:widowControl w:val="0"/>
              <w:spacing w:before="0" w:beforeAutospacing="0" w:after="0" w:afterAutospacing="0"/>
              <w:jc w:val="center"/>
              <w:rPr>
                <w:color w:val="000000"/>
                <w:highlight w:val="none"/>
                <w:shd w:val="clear" w:color="auto" w:fill="auto"/>
              </w:rPr>
            </w:pPr>
            <w:r>
              <w:rPr>
                <w:color w:val="000000"/>
                <w:highlight w:val="none"/>
                <w:shd w:val="clear" w:color="auto" w:fill="auto"/>
              </w:rPr>
              <w:t> </w:t>
            </w:r>
          </w:p>
        </w:tc>
      </w:tr>
      <w:tr w14:paraId="4B7922EB">
        <w:tblPrEx>
          <w:tblCellMar>
            <w:top w:w="0" w:type="dxa"/>
            <w:left w:w="108" w:type="dxa"/>
            <w:bottom w:w="0" w:type="dxa"/>
            <w:right w:w="108" w:type="dxa"/>
          </w:tblCellMar>
        </w:tblPrEx>
        <w:trPr>
          <w:trHeight w:val="640" w:hRule="atLeast"/>
          <w:tblCellSpacing w:w="0" w:type="dxa"/>
        </w:trPr>
        <w:tc>
          <w:tcPr>
            <w:tcW w:w="538" w:type="dxa"/>
            <w:tcBorders>
              <w:top w:val="single" w:color="000000" w:sz="4" w:space="0"/>
              <w:left w:val="single" w:color="000000" w:sz="4" w:space="0"/>
              <w:bottom w:val="single" w:color="000000" w:sz="4" w:space="0"/>
              <w:right w:val="single" w:color="000000" w:sz="4" w:space="0"/>
            </w:tcBorders>
            <w:noWrap w:val="0"/>
            <w:vAlign w:val="center"/>
          </w:tcPr>
          <w:p w14:paraId="5BCE8927">
            <w:pPr>
              <w:pStyle w:val="212"/>
              <w:widowControl w:val="0"/>
              <w:spacing w:before="0" w:beforeAutospacing="0" w:after="0" w:afterAutospacing="0"/>
              <w:jc w:val="center"/>
              <w:rPr>
                <w:color w:val="000000"/>
                <w:highlight w:val="none"/>
                <w:shd w:val="clear" w:color="auto" w:fill="auto"/>
              </w:rPr>
            </w:pPr>
            <w:r>
              <w:rPr>
                <w:color w:val="000000"/>
                <w:highlight w:val="none"/>
                <w:shd w:val="clear" w:color="auto" w:fill="auto"/>
              </w:rPr>
              <w:t> </w:t>
            </w:r>
          </w:p>
        </w:tc>
        <w:tc>
          <w:tcPr>
            <w:tcW w:w="3026" w:type="dxa"/>
            <w:tcBorders>
              <w:top w:val="single" w:color="000000" w:sz="4" w:space="0"/>
              <w:left w:val="single" w:color="000000" w:sz="4" w:space="0"/>
              <w:bottom w:val="single" w:color="000000" w:sz="4" w:space="0"/>
              <w:right w:val="single" w:color="000000" w:sz="4" w:space="0"/>
            </w:tcBorders>
            <w:noWrap w:val="0"/>
            <w:vAlign w:val="center"/>
          </w:tcPr>
          <w:p w14:paraId="769069B8">
            <w:pPr>
              <w:pStyle w:val="212"/>
              <w:widowControl w:val="0"/>
              <w:spacing w:before="0" w:beforeAutospacing="0" w:after="0" w:afterAutospacing="0"/>
              <w:jc w:val="center"/>
              <w:rPr>
                <w:color w:val="000000"/>
                <w:highlight w:val="none"/>
                <w:shd w:val="clear" w:color="auto" w:fill="auto"/>
              </w:rPr>
            </w:pPr>
            <w:r>
              <w:rPr>
                <w:color w:val="000000"/>
                <w:highlight w:val="none"/>
                <w:shd w:val="clear" w:color="auto" w:fill="auto"/>
              </w:rPr>
              <w:t> </w:t>
            </w:r>
          </w:p>
        </w:tc>
        <w:tc>
          <w:tcPr>
            <w:tcW w:w="2608" w:type="dxa"/>
            <w:tcBorders>
              <w:top w:val="single" w:color="000000" w:sz="4" w:space="0"/>
              <w:left w:val="single" w:color="000000" w:sz="4" w:space="0"/>
              <w:bottom w:val="single" w:color="000000" w:sz="4" w:space="0"/>
              <w:right w:val="single" w:color="000000" w:sz="4" w:space="0"/>
            </w:tcBorders>
            <w:noWrap w:val="0"/>
            <w:vAlign w:val="center"/>
          </w:tcPr>
          <w:p w14:paraId="0FE452A8">
            <w:pPr>
              <w:pStyle w:val="212"/>
              <w:widowControl w:val="0"/>
              <w:spacing w:before="0" w:beforeAutospacing="0" w:after="0" w:afterAutospacing="0"/>
              <w:jc w:val="center"/>
              <w:rPr>
                <w:color w:val="000000"/>
                <w:highlight w:val="none"/>
                <w:shd w:val="clear" w:color="auto" w:fill="auto"/>
              </w:rPr>
            </w:pPr>
            <w:r>
              <w:rPr>
                <w:color w:val="000000"/>
                <w:highlight w:val="none"/>
                <w:shd w:val="clear" w:color="auto" w:fill="auto"/>
              </w:rPr>
              <w:t> </w:t>
            </w:r>
          </w:p>
        </w:tc>
        <w:tc>
          <w:tcPr>
            <w:tcW w:w="1247" w:type="dxa"/>
            <w:tcBorders>
              <w:top w:val="single" w:color="000000" w:sz="4" w:space="0"/>
              <w:left w:val="single" w:color="000000" w:sz="4" w:space="0"/>
              <w:bottom w:val="single" w:color="000000" w:sz="4" w:space="0"/>
              <w:right w:val="single" w:color="000000" w:sz="4" w:space="0"/>
            </w:tcBorders>
            <w:noWrap w:val="0"/>
            <w:vAlign w:val="center"/>
          </w:tcPr>
          <w:p w14:paraId="690B4DAB">
            <w:pPr>
              <w:pStyle w:val="212"/>
              <w:widowControl w:val="0"/>
              <w:spacing w:before="0" w:beforeAutospacing="0" w:after="0" w:afterAutospacing="0"/>
              <w:jc w:val="center"/>
              <w:rPr>
                <w:color w:val="000000"/>
                <w:highlight w:val="none"/>
                <w:shd w:val="clear" w:color="auto" w:fill="auto"/>
              </w:rPr>
            </w:pPr>
            <w:r>
              <w:rPr>
                <w:color w:val="000000"/>
                <w:highlight w:val="none"/>
                <w:shd w:val="clear" w:color="auto" w:fill="auto"/>
              </w:rPr>
              <w:t> </w:t>
            </w:r>
          </w:p>
        </w:tc>
        <w:tc>
          <w:tcPr>
            <w:tcW w:w="1101" w:type="dxa"/>
            <w:tcBorders>
              <w:top w:val="single" w:color="000000" w:sz="4" w:space="0"/>
              <w:left w:val="single" w:color="000000" w:sz="4" w:space="0"/>
              <w:bottom w:val="single" w:color="000000" w:sz="4" w:space="0"/>
              <w:right w:val="single" w:color="000000" w:sz="4" w:space="0"/>
            </w:tcBorders>
            <w:noWrap w:val="0"/>
            <w:vAlign w:val="center"/>
          </w:tcPr>
          <w:p w14:paraId="6407E901">
            <w:pPr>
              <w:pStyle w:val="212"/>
              <w:widowControl w:val="0"/>
              <w:spacing w:before="0" w:beforeAutospacing="0" w:after="0" w:afterAutospacing="0"/>
              <w:jc w:val="center"/>
              <w:rPr>
                <w:color w:val="000000"/>
                <w:highlight w:val="none"/>
                <w:shd w:val="clear" w:color="auto" w:fill="auto"/>
              </w:rPr>
            </w:pPr>
            <w:r>
              <w:rPr>
                <w:color w:val="000000"/>
                <w:highlight w:val="none"/>
                <w:shd w:val="clear" w:color="auto" w:fill="auto"/>
              </w:rPr>
              <w:t> </w:t>
            </w:r>
          </w:p>
        </w:tc>
      </w:tr>
      <w:tr w14:paraId="109A23E4">
        <w:tblPrEx>
          <w:tblCellMar>
            <w:top w:w="0" w:type="dxa"/>
            <w:left w:w="108" w:type="dxa"/>
            <w:bottom w:w="0" w:type="dxa"/>
            <w:right w:w="108" w:type="dxa"/>
          </w:tblCellMar>
        </w:tblPrEx>
        <w:trPr>
          <w:trHeight w:val="640" w:hRule="atLeast"/>
          <w:tblCellSpacing w:w="0" w:type="dxa"/>
        </w:trPr>
        <w:tc>
          <w:tcPr>
            <w:tcW w:w="538" w:type="dxa"/>
            <w:tcBorders>
              <w:top w:val="single" w:color="000000" w:sz="4" w:space="0"/>
              <w:left w:val="single" w:color="000000" w:sz="4" w:space="0"/>
              <w:bottom w:val="single" w:color="000000" w:sz="4" w:space="0"/>
              <w:right w:val="single" w:color="000000" w:sz="4" w:space="0"/>
            </w:tcBorders>
            <w:noWrap w:val="0"/>
            <w:vAlign w:val="center"/>
          </w:tcPr>
          <w:p w14:paraId="5563023E">
            <w:pPr>
              <w:pStyle w:val="212"/>
              <w:widowControl w:val="0"/>
              <w:spacing w:before="0" w:beforeAutospacing="0" w:after="0" w:afterAutospacing="0"/>
              <w:jc w:val="center"/>
              <w:rPr>
                <w:color w:val="000000"/>
                <w:highlight w:val="none"/>
                <w:shd w:val="clear" w:color="auto" w:fill="auto"/>
              </w:rPr>
            </w:pPr>
            <w:r>
              <w:rPr>
                <w:color w:val="000000"/>
                <w:highlight w:val="none"/>
                <w:shd w:val="clear" w:color="auto" w:fill="auto"/>
              </w:rPr>
              <w:t> </w:t>
            </w:r>
          </w:p>
        </w:tc>
        <w:tc>
          <w:tcPr>
            <w:tcW w:w="3026" w:type="dxa"/>
            <w:tcBorders>
              <w:top w:val="single" w:color="000000" w:sz="4" w:space="0"/>
              <w:left w:val="single" w:color="000000" w:sz="4" w:space="0"/>
              <w:bottom w:val="single" w:color="000000" w:sz="4" w:space="0"/>
              <w:right w:val="single" w:color="000000" w:sz="4" w:space="0"/>
            </w:tcBorders>
            <w:noWrap w:val="0"/>
            <w:vAlign w:val="center"/>
          </w:tcPr>
          <w:p w14:paraId="50264B3A">
            <w:pPr>
              <w:pStyle w:val="212"/>
              <w:widowControl w:val="0"/>
              <w:spacing w:before="0" w:beforeAutospacing="0" w:after="0" w:afterAutospacing="0"/>
              <w:jc w:val="center"/>
              <w:rPr>
                <w:color w:val="000000"/>
                <w:highlight w:val="none"/>
                <w:shd w:val="clear" w:color="auto" w:fill="auto"/>
              </w:rPr>
            </w:pPr>
            <w:r>
              <w:rPr>
                <w:rFonts w:hint="eastAsia"/>
                <w:color w:val="000000"/>
                <w:highlight w:val="none"/>
                <w:shd w:val="clear" w:color="auto" w:fill="auto"/>
              </w:rPr>
              <w:t>……</w:t>
            </w:r>
          </w:p>
        </w:tc>
        <w:tc>
          <w:tcPr>
            <w:tcW w:w="2608" w:type="dxa"/>
            <w:tcBorders>
              <w:top w:val="single" w:color="000000" w:sz="4" w:space="0"/>
              <w:left w:val="single" w:color="000000" w:sz="4" w:space="0"/>
              <w:bottom w:val="single" w:color="000000" w:sz="4" w:space="0"/>
              <w:right w:val="single" w:color="000000" w:sz="4" w:space="0"/>
            </w:tcBorders>
            <w:noWrap w:val="0"/>
            <w:vAlign w:val="center"/>
          </w:tcPr>
          <w:p w14:paraId="12E53BE8">
            <w:pPr>
              <w:pStyle w:val="212"/>
              <w:widowControl w:val="0"/>
              <w:spacing w:before="0" w:beforeAutospacing="0" w:after="0" w:afterAutospacing="0"/>
              <w:jc w:val="center"/>
              <w:rPr>
                <w:color w:val="000000"/>
                <w:highlight w:val="none"/>
                <w:shd w:val="clear" w:color="auto" w:fill="auto"/>
              </w:rPr>
            </w:pPr>
            <w:r>
              <w:rPr>
                <w:color w:val="000000"/>
                <w:highlight w:val="none"/>
                <w:shd w:val="clear" w:color="auto" w:fill="auto"/>
              </w:rPr>
              <w:t> </w:t>
            </w:r>
          </w:p>
        </w:tc>
        <w:tc>
          <w:tcPr>
            <w:tcW w:w="1247" w:type="dxa"/>
            <w:tcBorders>
              <w:top w:val="single" w:color="000000" w:sz="4" w:space="0"/>
              <w:left w:val="single" w:color="000000" w:sz="4" w:space="0"/>
              <w:bottom w:val="single" w:color="000000" w:sz="4" w:space="0"/>
              <w:right w:val="single" w:color="000000" w:sz="4" w:space="0"/>
            </w:tcBorders>
            <w:noWrap w:val="0"/>
            <w:vAlign w:val="center"/>
          </w:tcPr>
          <w:p w14:paraId="3BD99366">
            <w:pPr>
              <w:pStyle w:val="212"/>
              <w:widowControl w:val="0"/>
              <w:spacing w:before="0" w:beforeAutospacing="0" w:after="0" w:afterAutospacing="0"/>
              <w:jc w:val="center"/>
              <w:rPr>
                <w:color w:val="000000"/>
                <w:highlight w:val="none"/>
                <w:shd w:val="clear" w:color="auto" w:fill="auto"/>
              </w:rPr>
            </w:pPr>
            <w:r>
              <w:rPr>
                <w:color w:val="000000"/>
                <w:highlight w:val="none"/>
                <w:shd w:val="clear" w:color="auto" w:fill="auto"/>
              </w:rPr>
              <w:t> </w:t>
            </w:r>
          </w:p>
        </w:tc>
        <w:tc>
          <w:tcPr>
            <w:tcW w:w="1101" w:type="dxa"/>
            <w:tcBorders>
              <w:top w:val="single" w:color="000000" w:sz="4" w:space="0"/>
              <w:left w:val="single" w:color="000000" w:sz="4" w:space="0"/>
              <w:bottom w:val="single" w:color="000000" w:sz="4" w:space="0"/>
              <w:right w:val="single" w:color="000000" w:sz="4" w:space="0"/>
            </w:tcBorders>
            <w:noWrap w:val="0"/>
            <w:vAlign w:val="center"/>
          </w:tcPr>
          <w:p w14:paraId="74CB2E53">
            <w:pPr>
              <w:pStyle w:val="212"/>
              <w:widowControl w:val="0"/>
              <w:spacing w:before="0" w:beforeAutospacing="0" w:after="0" w:afterAutospacing="0"/>
              <w:jc w:val="center"/>
              <w:rPr>
                <w:color w:val="000000"/>
                <w:highlight w:val="none"/>
                <w:shd w:val="clear" w:color="auto" w:fill="auto"/>
              </w:rPr>
            </w:pPr>
            <w:r>
              <w:rPr>
                <w:color w:val="000000"/>
                <w:highlight w:val="none"/>
                <w:shd w:val="clear" w:color="auto" w:fill="auto"/>
              </w:rPr>
              <w:t> </w:t>
            </w:r>
          </w:p>
        </w:tc>
      </w:tr>
    </w:tbl>
    <w:p w14:paraId="6F00A33E">
      <w:pPr>
        <w:pStyle w:val="212"/>
        <w:widowControl w:val="0"/>
        <w:spacing w:before="0" w:beforeAutospacing="0" w:after="0" w:afterAutospacing="0"/>
        <w:jc w:val="both"/>
        <w:rPr>
          <w:color w:val="000000"/>
          <w:highlight w:val="none"/>
          <w:shd w:val="clear" w:color="auto" w:fill="auto"/>
        </w:rPr>
      </w:pPr>
      <w:r>
        <w:rPr>
          <w:rFonts w:hint="eastAsia"/>
          <w:color w:val="000000"/>
          <w:highlight w:val="none"/>
          <w:shd w:val="clear" w:color="auto" w:fill="auto"/>
        </w:rPr>
        <w:t>注： 行数不够，可自行添加。</w:t>
      </w:r>
    </w:p>
    <w:p w14:paraId="1964076F">
      <w:pPr>
        <w:pStyle w:val="212"/>
        <w:widowControl w:val="0"/>
        <w:spacing w:before="0" w:beforeAutospacing="0" w:after="0" w:afterAutospacing="0"/>
        <w:ind w:left="0" w:firstLine="4620"/>
        <w:jc w:val="both"/>
        <w:rPr>
          <w:rFonts w:hint="eastAsia"/>
          <w:color w:val="000000"/>
        </w:rPr>
      </w:pPr>
    </w:p>
    <w:p w14:paraId="43EE3E9B">
      <w:pPr>
        <w:pStyle w:val="212"/>
        <w:widowControl w:val="0"/>
        <w:spacing w:before="0" w:beforeAutospacing="0" w:after="0" w:afterAutospacing="0"/>
        <w:ind w:left="0" w:firstLine="4620"/>
        <w:jc w:val="both"/>
        <w:rPr>
          <w:rFonts w:hint="eastAsia"/>
          <w:color w:val="000000"/>
        </w:rPr>
      </w:pPr>
      <w:r>
        <w:rPr>
          <w:rFonts w:hint="eastAsia"/>
          <w:color w:val="000000"/>
        </w:rPr>
        <w:t>供应商全称（加盖CA电子签章）：</w:t>
      </w:r>
    </w:p>
    <w:p w14:paraId="37E47904">
      <w:pPr>
        <w:pStyle w:val="212"/>
        <w:widowControl w:val="0"/>
        <w:spacing w:before="0" w:beforeAutospacing="0" w:after="0" w:afterAutospacing="0"/>
        <w:ind w:left="0" w:firstLine="4620"/>
        <w:jc w:val="both"/>
        <w:rPr>
          <w:rFonts w:hint="eastAsia"/>
          <w:color w:val="000000"/>
        </w:rPr>
      </w:pPr>
    </w:p>
    <w:p w14:paraId="2BBCFC6F">
      <w:pPr>
        <w:pStyle w:val="212"/>
        <w:spacing w:beforeAutospacing="0" w:afterAutospacing="0"/>
        <w:ind w:firstLine="480"/>
        <w:jc w:val="center"/>
        <w:rPr>
          <w:highlight w:val="none"/>
        </w:rPr>
      </w:pPr>
      <w:r>
        <w:rPr>
          <w:rFonts w:hint="eastAsia"/>
          <w:color w:val="000000"/>
          <w:lang w:val="en-US" w:eastAsia="zh-CN"/>
        </w:rPr>
        <w:t xml:space="preserve">                          </w:t>
      </w:r>
      <w:r>
        <w:rPr>
          <w:rFonts w:hint="eastAsia"/>
          <w:color w:val="000000"/>
        </w:rPr>
        <w:t>日期：</w:t>
      </w:r>
      <w:r>
        <w:rPr>
          <w:rFonts w:hint="eastAsia" w:ascii="宋体" w:hAnsi="宋体" w:eastAsia="宋体" w:cs="宋体"/>
          <w:color w:val="000000"/>
          <w:highlight w:val="none"/>
        </w:rPr>
        <w:t xml:space="preserve"> </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年</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月</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日</w:t>
      </w:r>
    </w:p>
    <w:p w14:paraId="6930B277">
      <w:pPr>
        <w:pStyle w:val="212"/>
        <w:widowControl w:val="0"/>
        <w:spacing w:before="0" w:beforeAutospacing="0" w:after="0" w:afterAutospacing="0"/>
        <w:ind w:left="0" w:firstLine="5340"/>
        <w:jc w:val="both"/>
        <w:rPr>
          <w:rFonts w:hint="eastAsia" w:eastAsia="宋体"/>
          <w:color w:val="000000"/>
          <w:highlight w:val="none"/>
          <w:shd w:val="clear" w:color="auto" w:fill="auto"/>
          <w:lang w:val="en-US" w:eastAsia="zh-CN"/>
        </w:rPr>
      </w:pPr>
    </w:p>
    <w:p w14:paraId="1CD20CB6">
      <w:pPr>
        <w:pStyle w:val="212"/>
        <w:widowControl w:val="0"/>
        <w:spacing w:before="0" w:beforeAutospacing="0" w:after="0" w:afterAutospacing="0" w:line="480" w:lineRule="auto"/>
        <w:jc w:val="both"/>
        <w:rPr>
          <w:color w:val="000000"/>
          <w:highlight w:val="none"/>
          <w:shd w:val="clear" w:color="auto" w:fill="auto"/>
        </w:rPr>
      </w:pPr>
      <w:r>
        <w:rPr>
          <w:color w:val="000000"/>
          <w:highlight w:val="none"/>
          <w:shd w:val="clear" w:color="auto" w:fill="auto"/>
        </w:rPr>
        <w:t> </w:t>
      </w:r>
    </w:p>
    <w:p w14:paraId="0B1C5ABA">
      <w:pPr>
        <w:pStyle w:val="212"/>
        <w:widowControl w:val="0"/>
        <w:spacing w:before="0" w:beforeAutospacing="0" w:after="0" w:afterAutospacing="0"/>
        <w:jc w:val="center"/>
        <w:rPr>
          <w:color w:val="000000"/>
          <w:highlight w:val="none"/>
          <w:shd w:val="clear" w:color="auto" w:fill="auto"/>
        </w:rPr>
      </w:pPr>
      <w:bookmarkStart w:id="162" w:name="_格式2__法定代表人授权书"/>
      <w:bookmarkStart w:id="163" w:name="_Hlt26609389"/>
      <w:bookmarkStart w:id="164" w:name="_Toc462564146"/>
      <w:bookmarkStart w:id="165" w:name="_Hlt26671374"/>
      <w:bookmarkStart w:id="166" w:name="_Hlt26955066"/>
      <w:r>
        <w:rPr>
          <w:color w:val="000000"/>
          <w:highlight w:val="none"/>
          <w:shd w:val="clear" w:color="auto" w:fill="auto"/>
        </w:rPr>
        <w:t> </w:t>
      </w:r>
    </w:p>
    <w:p w14:paraId="336FFE5B">
      <w:pPr>
        <w:pStyle w:val="212"/>
        <w:widowControl w:val="0"/>
        <w:spacing w:before="0" w:beforeAutospacing="0" w:after="0" w:afterAutospacing="0"/>
        <w:jc w:val="center"/>
        <w:rPr>
          <w:color w:val="000000"/>
          <w:highlight w:val="none"/>
          <w:shd w:val="clear" w:color="auto" w:fill="auto"/>
        </w:rPr>
      </w:pPr>
      <w:r>
        <w:rPr>
          <w:color w:val="000000"/>
          <w:highlight w:val="none"/>
          <w:shd w:val="clear" w:color="auto" w:fill="auto"/>
        </w:rPr>
        <w:t> </w:t>
      </w:r>
    </w:p>
    <w:p w14:paraId="693D03D9">
      <w:pPr>
        <w:pStyle w:val="212"/>
        <w:widowControl w:val="0"/>
        <w:spacing w:before="0" w:beforeAutospacing="0" w:after="0" w:afterAutospacing="0"/>
        <w:jc w:val="center"/>
        <w:rPr>
          <w:color w:val="000000"/>
          <w:highlight w:val="none"/>
          <w:shd w:val="clear" w:color="auto" w:fill="auto"/>
        </w:rPr>
      </w:pPr>
      <w:r>
        <w:rPr>
          <w:color w:val="000000"/>
          <w:highlight w:val="none"/>
          <w:shd w:val="clear" w:color="auto" w:fill="auto"/>
        </w:rPr>
        <w:t> </w:t>
      </w:r>
    </w:p>
    <w:p w14:paraId="0EC0D9F6">
      <w:pPr>
        <w:pStyle w:val="212"/>
        <w:widowControl w:val="0"/>
        <w:spacing w:before="0" w:beforeAutospacing="0" w:after="0" w:afterAutospacing="0"/>
        <w:jc w:val="center"/>
        <w:rPr>
          <w:color w:val="000000"/>
          <w:highlight w:val="none"/>
          <w:shd w:val="clear" w:color="auto" w:fill="auto"/>
        </w:rPr>
      </w:pPr>
      <w:r>
        <w:rPr>
          <w:color w:val="000000"/>
          <w:highlight w:val="none"/>
          <w:shd w:val="clear" w:color="auto" w:fill="auto"/>
        </w:rPr>
        <w:t> </w:t>
      </w:r>
    </w:p>
    <w:p w14:paraId="2FD79E78">
      <w:pPr>
        <w:pStyle w:val="212"/>
        <w:widowControl w:val="0"/>
        <w:spacing w:before="0" w:beforeAutospacing="0" w:after="0" w:afterAutospacing="0"/>
        <w:jc w:val="center"/>
        <w:rPr>
          <w:color w:val="000000"/>
          <w:highlight w:val="none"/>
          <w:shd w:val="clear" w:color="auto" w:fill="auto"/>
        </w:rPr>
      </w:pPr>
      <w:r>
        <w:rPr>
          <w:color w:val="000000"/>
          <w:highlight w:val="none"/>
          <w:shd w:val="clear" w:color="auto" w:fill="auto"/>
        </w:rPr>
        <w:t> </w:t>
      </w:r>
    </w:p>
    <w:p w14:paraId="4327960D">
      <w:pPr>
        <w:pStyle w:val="212"/>
        <w:widowControl w:val="0"/>
        <w:spacing w:before="0" w:beforeAutospacing="0" w:after="0" w:afterAutospacing="0"/>
        <w:jc w:val="center"/>
        <w:rPr>
          <w:color w:val="000000"/>
          <w:highlight w:val="none"/>
          <w:shd w:val="clear" w:color="auto" w:fill="auto"/>
        </w:rPr>
      </w:pPr>
      <w:r>
        <w:rPr>
          <w:color w:val="000000"/>
          <w:highlight w:val="none"/>
          <w:shd w:val="clear" w:color="auto" w:fill="auto"/>
        </w:rPr>
        <w:t> </w:t>
      </w:r>
    </w:p>
    <w:p w14:paraId="390DCF45">
      <w:pPr>
        <w:pStyle w:val="212"/>
        <w:widowControl w:val="0"/>
        <w:spacing w:before="0" w:beforeAutospacing="0" w:after="0" w:afterAutospacing="0"/>
        <w:jc w:val="center"/>
        <w:rPr>
          <w:color w:val="000000"/>
          <w:highlight w:val="none"/>
          <w:shd w:val="clear" w:color="auto" w:fill="auto"/>
        </w:rPr>
      </w:pPr>
      <w:r>
        <w:rPr>
          <w:color w:val="000000"/>
          <w:highlight w:val="none"/>
          <w:shd w:val="clear" w:color="auto" w:fill="auto"/>
        </w:rPr>
        <w:t> </w:t>
      </w:r>
    </w:p>
    <w:p w14:paraId="2D6A5A62">
      <w:pPr>
        <w:pStyle w:val="212"/>
        <w:widowControl w:val="0"/>
        <w:spacing w:before="0" w:beforeAutospacing="0" w:after="0" w:afterAutospacing="0"/>
        <w:jc w:val="both"/>
        <w:rPr>
          <w:color w:val="000000"/>
          <w:highlight w:val="none"/>
          <w:shd w:val="clear" w:color="auto" w:fill="auto"/>
        </w:rPr>
      </w:pPr>
      <w:r>
        <w:rPr>
          <w:color w:val="000000"/>
          <w:highlight w:val="none"/>
          <w:shd w:val="clear" w:color="auto" w:fill="auto"/>
        </w:rPr>
        <w:t> </w:t>
      </w:r>
    </w:p>
    <w:p w14:paraId="61C163B4">
      <w:pPr>
        <w:pStyle w:val="212"/>
        <w:spacing w:beforeAutospacing="0" w:afterAutospacing="0"/>
        <w:jc w:val="center"/>
        <w:rPr>
          <w:rFonts w:hint="eastAsia" w:ascii="黑体" w:hAnsi="宋体" w:eastAsia="黑体" w:cs="黑体"/>
          <w:b/>
          <w:i/>
          <w:color w:val="000000"/>
          <w:sz w:val="32"/>
          <w:szCs w:val="32"/>
          <w:highlight w:val="none"/>
          <w:u w:val="single"/>
        </w:rPr>
      </w:pPr>
      <w:r>
        <w:rPr>
          <w:rFonts w:hint="eastAsia" w:ascii="黑体" w:hAnsi="宋体" w:eastAsia="黑体" w:cs="黑体"/>
          <w:b/>
          <w:i/>
          <w:color w:val="000000"/>
          <w:sz w:val="32"/>
          <w:szCs w:val="32"/>
          <w:highlight w:val="none"/>
          <w:u w:val="single"/>
          <w:shd w:val="clear" w:color="auto" w:fill="auto"/>
        </w:rPr>
        <w:br w:type="page" w:clear="all"/>
      </w:r>
    </w:p>
    <w:p w14:paraId="3B1CE7CD">
      <w:pPr>
        <w:pStyle w:val="212"/>
        <w:spacing w:beforeAutospacing="0" w:afterAutospacing="0"/>
        <w:jc w:val="center"/>
        <w:rPr>
          <w:highlight w:val="none"/>
          <w:shd w:val="clear" w:color="auto" w:fill="auto"/>
        </w:rPr>
      </w:pPr>
      <w:r>
        <w:rPr>
          <w:rFonts w:hint="eastAsia" w:ascii="黑体" w:hAnsi="宋体" w:eastAsia="黑体" w:cs="黑体"/>
          <w:b/>
          <w:i/>
          <w:color w:val="000000"/>
          <w:sz w:val="32"/>
          <w:szCs w:val="32"/>
          <w:highlight w:val="none"/>
          <w:u w:val="single"/>
        </w:rPr>
        <w:t>十</w:t>
      </w:r>
      <w:r>
        <w:rPr>
          <w:rFonts w:hint="eastAsia" w:ascii="黑体" w:hAnsi="宋体" w:eastAsia="黑体" w:cs="黑体"/>
          <w:b/>
          <w:i/>
          <w:color w:val="000000"/>
          <w:sz w:val="32"/>
          <w:szCs w:val="32"/>
          <w:highlight w:val="none"/>
          <w:u w:val="single"/>
          <w:lang w:val="en-US" w:eastAsia="zh-CN"/>
        </w:rPr>
        <w:t>四</w:t>
      </w:r>
      <w:r>
        <w:rPr>
          <w:rFonts w:hint="eastAsia" w:ascii="黑体" w:hAnsi="宋体" w:eastAsia="黑体" w:cs="黑体"/>
          <w:b/>
          <w:i/>
          <w:color w:val="000000"/>
          <w:sz w:val="32"/>
          <w:szCs w:val="32"/>
          <w:highlight w:val="none"/>
          <w:u w:val="single"/>
        </w:rPr>
        <w:t>、开标一览表</w:t>
      </w:r>
    </w:p>
    <w:p w14:paraId="795DCB6B">
      <w:pPr>
        <w:pStyle w:val="212"/>
        <w:spacing w:beforeAutospacing="0" w:afterAutospacing="0"/>
        <w:ind w:firstLine="480"/>
        <w:jc w:val="both"/>
        <w:rPr>
          <w:highlight w:val="none"/>
          <w:shd w:val="clear" w:color="auto" w:fill="auto"/>
        </w:rPr>
      </w:pPr>
      <w:r>
        <w:rPr>
          <w:rFonts w:hint="eastAsia" w:ascii="宋体" w:hAnsi="宋体" w:eastAsia="宋体" w:cs="宋体"/>
          <w:color w:val="000000"/>
          <w:highlight w:val="none"/>
          <w:shd w:val="clear" w:color="auto" w:fill="auto"/>
        </w:rPr>
        <w:t>投标人全称（加盖CA电子签章）：</w:t>
      </w:r>
    </w:p>
    <w:p w14:paraId="619F3D6E">
      <w:pPr>
        <w:pStyle w:val="212"/>
        <w:spacing w:beforeAutospacing="0" w:afterAutospacing="0"/>
        <w:ind w:firstLine="480"/>
        <w:jc w:val="both"/>
        <w:rPr>
          <w:highlight w:val="none"/>
        </w:rPr>
      </w:pPr>
      <w:r>
        <w:rPr>
          <w:rFonts w:hint="eastAsia" w:ascii="宋体" w:hAnsi="宋体" w:eastAsia="宋体" w:cs="宋体"/>
          <w:color w:val="000000"/>
          <w:highlight w:val="none"/>
        </w:rPr>
        <w:t>项目名称：</w:t>
      </w:r>
    </w:p>
    <w:p w14:paraId="39F626BB">
      <w:pPr>
        <w:pStyle w:val="212"/>
        <w:spacing w:beforeAutospacing="0" w:afterAutospacing="0"/>
        <w:ind w:firstLine="480"/>
        <w:jc w:val="both"/>
        <w:rPr>
          <w:rFonts w:hint="eastAsia" w:ascii="宋体" w:hAnsi="宋体" w:eastAsia="宋体" w:cs="宋体"/>
          <w:color w:val="000000"/>
          <w:highlight w:val="none"/>
        </w:rPr>
      </w:pPr>
      <w:r>
        <w:rPr>
          <w:rFonts w:hint="eastAsia" w:ascii="宋体" w:hAnsi="宋体" w:eastAsia="宋体" w:cs="宋体"/>
          <w:color w:val="000000"/>
          <w:highlight w:val="none"/>
          <w:lang w:val="en-US" w:eastAsia="zh-CN"/>
        </w:rPr>
        <w:t>项目</w:t>
      </w:r>
      <w:r>
        <w:rPr>
          <w:rFonts w:hint="eastAsia" w:ascii="宋体" w:hAnsi="宋体" w:eastAsia="宋体" w:cs="宋体"/>
          <w:color w:val="000000"/>
          <w:highlight w:val="none"/>
        </w:rPr>
        <w:t>编号：</w:t>
      </w:r>
    </w:p>
    <w:p w14:paraId="6ECD6933">
      <w:pPr>
        <w:pStyle w:val="212"/>
        <w:spacing w:beforeAutospacing="0" w:afterAutospacing="0"/>
        <w:ind w:firstLine="480"/>
        <w:jc w:val="both"/>
        <w:rPr>
          <w:highlight w:val="none"/>
        </w:rPr>
      </w:pPr>
      <w:r>
        <w:rPr>
          <w:rFonts w:hint="eastAsia" w:ascii="宋体" w:hAnsi="宋体" w:eastAsia="宋体" w:cs="宋体"/>
          <w:color w:val="000000"/>
          <w:highlight w:val="none"/>
        </w:rPr>
        <w:t>分包号：</w:t>
      </w:r>
    </w:p>
    <w:tbl>
      <w:tblPr>
        <w:tblStyle w:val="31"/>
        <w:tblW w:w="8413" w:type="dxa"/>
        <w:tblCellSpacing w:w="0" w:type="dxa"/>
        <w:tblInd w:w="0" w:type="dxa"/>
        <w:tblLayout w:type="fixed"/>
        <w:tblCellMar>
          <w:top w:w="0" w:type="dxa"/>
          <w:left w:w="108" w:type="dxa"/>
          <w:bottom w:w="0" w:type="dxa"/>
          <w:right w:w="108" w:type="dxa"/>
        </w:tblCellMar>
      </w:tblPr>
      <w:tblGrid>
        <w:gridCol w:w="8413"/>
      </w:tblGrid>
      <w:tr w14:paraId="5BC23F70">
        <w:tblPrEx>
          <w:tblCellMar>
            <w:top w:w="0" w:type="dxa"/>
            <w:left w:w="108" w:type="dxa"/>
            <w:bottom w:w="0" w:type="dxa"/>
            <w:right w:w="108" w:type="dxa"/>
          </w:tblCellMar>
        </w:tblPrEx>
        <w:trPr>
          <w:trHeight w:val="725" w:hRule="atLeast"/>
          <w:tblCellSpacing w:w="0" w:type="dxa"/>
        </w:trPr>
        <w:tc>
          <w:tcPr>
            <w:tcW w:w="8413" w:type="dxa"/>
            <w:tcBorders>
              <w:top w:val="single" w:color="000000" w:sz="4" w:space="0"/>
              <w:left w:val="single" w:color="000000" w:sz="4" w:space="0"/>
              <w:bottom w:val="single" w:color="000000" w:sz="4" w:space="0"/>
              <w:right w:val="single" w:color="000000" w:sz="4" w:space="0"/>
            </w:tcBorders>
            <w:noWrap w:val="0"/>
            <w:vAlign w:val="center"/>
          </w:tcPr>
          <w:p w14:paraId="40D3A254">
            <w:pPr>
              <w:pStyle w:val="212"/>
              <w:spacing w:beforeAutospacing="0" w:afterAutospacing="0"/>
              <w:jc w:val="center"/>
              <w:rPr>
                <w:highlight w:val="none"/>
              </w:rPr>
            </w:pPr>
            <w:r>
              <w:rPr>
                <w:rFonts w:hint="eastAsia" w:ascii="宋体" w:hAnsi="宋体" w:eastAsia="宋体" w:cs="宋体"/>
                <w:color w:val="000000"/>
                <w:highlight w:val="none"/>
              </w:rPr>
              <w:t>投标总报价</w:t>
            </w:r>
          </w:p>
        </w:tc>
      </w:tr>
      <w:tr w14:paraId="04BB5714">
        <w:tblPrEx>
          <w:tblCellMar>
            <w:top w:w="0" w:type="dxa"/>
            <w:left w:w="108" w:type="dxa"/>
            <w:bottom w:w="0" w:type="dxa"/>
            <w:right w:w="108" w:type="dxa"/>
          </w:tblCellMar>
        </w:tblPrEx>
        <w:trPr>
          <w:trHeight w:val="612" w:hRule="atLeast"/>
          <w:tblCellSpacing w:w="0" w:type="dxa"/>
        </w:trPr>
        <w:tc>
          <w:tcPr>
            <w:tcW w:w="8413" w:type="dxa"/>
            <w:tcBorders>
              <w:top w:val="single" w:color="000000" w:sz="4" w:space="0"/>
              <w:left w:val="single" w:color="000000" w:sz="4" w:space="0"/>
              <w:bottom w:val="single" w:color="000000" w:sz="4" w:space="0"/>
              <w:right w:val="single" w:color="000000" w:sz="4" w:space="0"/>
            </w:tcBorders>
            <w:noWrap w:val="0"/>
            <w:vAlign w:val="center"/>
          </w:tcPr>
          <w:p w14:paraId="26B9304C">
            <w:pPr>
              <w:pStyle w:val="212"/>
              <w:spacing w:beforeAutospacing="0" w:afterAutospacing="0" w:line="0" w:lineRule="atLeast"/>
              <w:rPr>
                <w:rFonts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大写：</w:t>
            </w:r>
          </w:p>
        </w:tc>
      </w:tr>
      <w:tr w14:paraId="78607BF9">
        <w:trPr>
          <w:trHeight w:val="612" w:hRule="atLeast"/>
          <w:tblCellSpacing w:w="0" w:type="dxa"/>
        </w:trPr>
        <w:tc>
          <w:tcPr>
            <w:tcW w:w="8413" w:type="dxa"/>
            <w:tcBorders>
              <w:top w:val="single" w:color="000000" w:sz="4" w:space="0"/>
              <w:left w:val="single" w:color="000000" w:sz="4" w:space="0"/>
              <w:bottom w:val="single" w:color="000000" w:sz="4" w:space="0"/>
              <w:right w:val="single" w:color="000000" w:sz="4" w:space="0"/>
            </w:tcBorders>
            <w:noWrap w:val="0"/>
            <w:vAlign w:val="center"/>
          </w:tcPr>
          <w:p w14:paraId="5A0616EA">
            <w:pPr>
              <w:pStyle w:val="212"/>
              <w:spacing w:beforeAutospacing="0" w:afterAutospacing="0" w:line="0" w:lineRule="atLeast"/>
              <w:rPr>
                <w:highlight w:val="none"/>
              </w:rPr>
            </w:pPr>
            <w:r>
              <w:rPr>
                <w:rFonts w:hint="eastAsia" w:ascii="宋体" w:hAnsi="宋体" w:eastAsia="宋体" w:cs="宋体"/>
                <w:color w:val="000000"/>
                <w:highlight w:val="none"/>
              </w:rPr>
              <w:t>小写：                     （人民币：元）</w:t>
            </w:r>
          </w:p>
        </w:tc>
      </w:tr>
    </w:tbl>
    <w:p w14:paraId="77685DDF">
      <w:pPr>
        <w:pStyle w:val="212"/>
        <w:spacing w:beforeAutospacing="0" w:afterAutospacing="0"/>
        <w:jc w:val="both"/>
        <w:rPr>
          <w:highlight w:val="none"/>
        </w:rPr>
      </w:pPr>
      <w:r>
        <w:rPr>
          <w:highlight w:val="none"/>
        </w:rPr>
        <w:t> </w:t>
      </w:r>
    </w:p>
    <w:p w14:paraId="1E4631BD">
      <w:pPr>
        <w:pStyle w:val="212"/>
        <w:spacing w:beforeAutospacing="0" w:afterAutospacing="0"/>
        <w:ind w:firstLine="480"/>
        <w:jc w:val="both"/>
        <w:rPr>
          <w:highlight w:val="none"/>
        </w:rPr>
      </w:pPr>
      <w:r>
        <w:rPr>
          <w:rFonts w:hint="eastAsia" w:ascii="宋体" w:hAnsi="宋体" w:eastAsia="宋体" w:cs="宋体"/>
          <w:color w:val="000000"/>
          <w:highlight w:val="none"/>
        </w:rPr>
        <w:t xml:space="preserve">                                              日期：  </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年</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月</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日</w:t>
      </w:r>
    </w:p>
    <w:p w14:paraId="29AC4C72">
      <w:pPr>
        <w:pStyle w:val="212"/>
        <w:spacing w:beforeAutospacing="0" w:afterAutospacing="0"/>
        <w:ind w:firstLine="480"/>
        <w:jc w:val="both"/>
        <w:rPr>
          <w:highlight w:val="none"/>
        </w:rPr>
      </w:pPr>
      <w:r>
        <w:rPr>
          <w:highlight w:val="none"/>
        </w:rPr>
        <w:t> </w:t>
      </w:r>
    </w:p>
    <w:p w14:paraId="6BD4101B">
      <w:pPr>
        <w:pStyle w:val="212"/>
        <w:spacing w:beforeAutospacing="0" w:afterAutospacing="0"/>
        <w:ind w:firstLine="480"/>
        <w:jc w:val="both"/>
        <w:rPr>
          <w:highlight w:val="none"/>
        </w:rPr>
      </w:pPr>
      <w:r>
        <w:rPr>
          <w:highlight w:val="none"/>
        </w:rPr>
        <w:t> </w:t>
      </w:r>
    </w:p>
    <w:p w14:paraId="7DD0D787">
      <w:pPr>
        <w:pStyle w:val="212"/>
        <w:spacing w:beforeAutospacing="0" w:afterAutospacing="0"/>
        <w:ind w:firstLine="480"/>
        <w:jc w:val="both"/>
        <w:rPr>
          <w:highlight w:val="none"/>
        </w:rPr>
      </w:pPr>
    </w:p>
    <w:p w14:paraId="73E7B0EF">
      <w:pPr>
        <w:pStyle w:val="212"/>
        <w:spacing w:beforeAutospacing="0" w:afterAutospacing="0"/>
        <w:jc w:val="center"/>
        <w:rPr>
          <w:color w:val="000000"/>
          <w:highlight w:val="none"/>
          <w:shd w:val="clear" w:color="auto" w:fill="auto"/>
        </w:rPr>
      </w:pPr>
      <w:r>
        <w:rPr>
          <w:color w:val="000000"/>
          <w:highlight w:val="none"/>
          <w:shd w:val="clear" w:color="auto" w:fill="auto"/>
        </w:rPr>
        <w:t> </w:t>
      </w:r>
    </w:p>
    <w:p w14:paraId="61A80588">
      <w:pPr>
        <w:pStyle w:val="212"/>
        <w:spacing w:beforeAutospacing="0" w:afterAutospacing="0"/>
        <w:jc w:val="both"/>
        <w:rPr>
          <w:color w:val="000000"/>
          <w:highlight w:val="none"/>
          <w:shd w:val="clear" w:color="auto" w:fill="auto"/>
        </w:rPr>
      </w:pPr>
      <w:r>
        <w:rPr>
          <w:color w:val="000000"/>
          <w:highlight w:val="none"/>
          <w:shd w:val="clear" w:color="auto" w:fill="auto"/>
        </w:rPr>
        <w:t> </w:t>
      </w:r>
    </w:p>
    <w:p w14:paraId="0B06ABFE">
      <w:pPr>
        <w:widowControl/>
        <w:spacing w:before="50" w:after="50"/>
        <w:jc w:val="center"/>
        <w:rPr>
          <w:rFonts w:hint="eastAsia" w:ascii="宋体" w:hAnsi="宋体" w:cs="宋体"/>
          <w:b/>
          <w:color w:val="000000"/>
          <w:sz w:val="32"/>
          <w:szCs w:val="32"/>
          <w:highlight w:val="none"/>
          <w:shd w:val="clear" w:color="auto" w:fill="auto"/>
        </w:rPr>
      </w:pPr>
      <w:r>
        <w:rPr>
          <w:rFonts w:hint="eastAsia" w:ascii="宋体" w:hAnsi="宋体" w:cs="宋体"/>
          <w:b/>
          <w:color w:val="000000"/>
          <w:sz w:val="32"/>
          <w:szCs w:val="32"/>
          <w:highlight w:val="none"/>
          <w:shd w:val="clear" w:color="auto" w:fill="auto"/>
        </w:rPr>
        <w:br w:type="page" w:clear="all"/>
      </w:r>
    </w:p>
    <w:p w14:paraId="4F1D7051">
      <w:pPr>
        <w:widowControl/>
        <w:spacing w:before="50" w:after="50"/>
        <w:jc w:val="center"/>
        <w:rPr>
          <w:rFonts w:hint="eastAsia" w:ascii="宋体" w:hAnsi="宋体" w:cs="宋体"/>
          <w:color w:val="000000"/>
          <w:sz w:val="32"/>
          <w:szCs w:val="32"/>
          <w:highlight w:val="none"/>
          <w:shd w:val="clear" w:color="auto" w:fill="auto"/>
        </w:rPr>
      </w:pPr>
      <w:r>
        <w:rPr>
          <w:rFonts w:hint="eastAsia" w:ascii="宋体" w:hAnsi="宋体" w:cs="宋体"/>
          <w:color w:val="000000"/>
          <w:sz w:val="32"/>
          <w:szCs w:val="32"/>
          <w:highlight w:val="none"/>
          <w:shd w:val="clear" w:color="auto" w:fill="auto"/>
        </w:rPr>
        <w:t>十</w:t>
      </w:r>
      <w:r>
        <w:rPr>
          <w:rFonts w:hint="eastAsia" w:ascii="宋体" w:hAnsi="宋体" w:cs="宋体"/>
          <w:color w:val="000000"/>
          <w:sz w:val="32"/>
          <w:szCs w:val="32"/>
          <w:highlight w:val="none"/>
          <w:shd w:val="clear" w:color="auto" w:fill="auto"/>
          <w:lang w:val="en-US" w:eastAsia="zh-CN"/>
        </w:rPr>
        <w:t>五</w:t>
      </w:r>
      <w:r>
        <w:rPr>
          <w:rFonts w:hint="eastAsia" w:ascii="宋体" w:hAnsi="宋体" w:cs="宋体"/>
          <w:color w:val="000000"/>
          <w:sz w:val="32"/>
          <w:szCs w:val="32"/>
          <w:highlight w:val="none"/>
          <w:shd w:val="clear" w:color="auto" w:fill="auto"/>
        </w:rPr>
        <w:t>、</w:t>
      </w:r>
      <w:r>
        <w:rPr>
          <w:rFonts w:hint="eastAsia" w:ascii="宋体" w:hAnsi="宋体" w:cs="宋体"/>
          <w:color w:val="000000"/>
          <w:sz w:val="32"/>
          <w:szCs w:val="32"/>
          <w:highlight w:val="none"/>
          <w:shd w:val="clear" w:color="auto" w:fill="auto"/>
          <w:lang w:val="en-US" w:eastAsia="zh-CN"/>
        </w:rPr>
        <w:t>采购需求中要求的相关</w:t>
      </w:r>
      <w:r>
        <w:rPr>
          <w:rFonts w:hint="eastAsia" w:ascii="宋体" w:hAnsi="宋体" w:cs="宋体"/>
          <w:color w:val="000000"/>
          <w:sz w:val="32"/>
          <w:szCs w:val="32"/>
          <w:highlight w:val="none"/>
          <w:shd w:val="clear" w:color="auto" w:fill="auto"/>
        </w:rPr>
        <w:t>服务承诺</w:t>
      </w:r>
    </w:p>
    <w:p w14:paraId="35B5AD4D">
      <w:pPr>
        <w:widowControl/>
        <w:spacing w:before="50" w:after="50"/>
        <w:jc w:val="center"/>
        <w:rPr>
          <w:rFonts w:hint="eastAsia" w:ascii="宋体" w:hAnsi="宋体" w:cs="宋体"/>
          <w:color w:val="000000"/>
          <w:sz w:val="32"/>
          <w:szCs w:val="32"/>
          <w:highlight w:val="none"/>
          <w:shd w:val="clear" w:color="auto" w:fill="auto"/>
        </w:rPr>
      </w:pPr>
    </w:p>
    <w:p w14:paraId="4F7087AD">
      <w:pPr>
        <w:widowControl/>
        <w:spacing w:before="50" w:after="50"/>
        <w:jc w:val="center"/>
        <w:rPr>
          <w:rFonts w:ascii="宋体" w:hAnsi="宋体" w:eastAsia="宋体" w:cs="宋体"/>
          <w:color w:val="000000"/>
          <w:sz w:val="32"/>
          <w:szCs w:val="32"/>
          <w:highlight w:val="none"/>
          <w:shd w:val="clear" w:color="auto" w:fill="auto"/>
          <w:lang w:val="en-US" w:eastAsia="zh-CN"/>
        </w:rPr>
      </w:pPr>
      <w:r>
        <w:rPr>
          <w:rFonts w:hint="eastAsia" w:ascii="宋体" w:hAnsi="宋体" w:cs="宋体"/>
          <w:color w:val="000000"/>
          <w:sz w:val="32"/>
          <w:szCs w:val="32"/>
          <w:highlight w:val="none"/>
          <w:shd w:val="clear" w:color="auto" w:fill="auto"/>
          <w:lang w:val="en-US" w:eastAsia="zh-CN"/>
        </w:rPr>
        <w:t>(格式自拟）</w:t>
      </w:r>
    </w:p>
    <w:p w14:paraId="1E4414D5">
      <w:pPr>
        <w:widowControl/>
        <w:spacing w:before="50" w:after="50"/>
        <w:jc w:val="center"/>
        <w:rPr>
          <w:rFonts w:hint="eastAsia" w:ascii="宋体" w:hAnsi="宋体" w:cs="宋体"/>
          <w:color w:val="000000"/>
          <w:sz w:val="32"/>
          <w:szCs w:val="32"/>
          <w:highlight w:val="none"/>
          <w:shd w:val="clear" w:color="auto" w:fill="auto"/>
        </w:rPr>
      </w:pPr>
    </w:p>
    <w:p w14:paraId="5E29022F">
      <w:pPr>
        <w:pStyle w:val="193"/>
        <w:rPr>
          <w:rFonts w:hint="eastAsia" w:ascii="宋体" w:hAnsi="宋体" w:cs="宋体"/>
          <w:color w:val="000000"/>
          <w:sz w:val="32"/>
          <w:szCs w:val="32"/>
          <w:highlight w:val="none"/>
          <w:shd w:val="clear" w:color="auto" w:fill="auto"/>
        </w:rPr>
      </w:pPr>
    </w:p>
    <w:p w14:paraId="249F2864">
      <w:pPr>
        <w:rPr>
          <w:rFonts w:hint="eastAsia" w:ascii="宋体" w:hAnsi="宋体" w:cs="宋体"/>
          <w:color w:val="000000"/>
          <w:sz w:val="32"/>
          <w:szCs w:val="32"/>
          <w:highlight w:val="none"/>
          <w:shd w:val="clear" w:color="auto" w:fill="auto"/>
        </w:rPr>
      </w:pPr>
    </w:p>
    <w:p w14:paraId="11B4FD86">
      <w:pPr>
        <w:pStyle w:val="193"/>
        <w:rPr>
          <w:rFonts w:hint="eastAsia" w:ascii="宋体" w:hAnsi="宋体" w:cs="宋体"/>
          <w:color w:val="000000"/>
          <w:sz w:val="32"/>
          <w:szCs w:val="32"/>
          <w:highlight w:val="none"/>
          <w:shd w:val="clear" w:color="auto" w:fill="auto"/>
        </w:rPr>
      </w:pPr>
    </w:p>
    <w:p w14:paraId="73CBEEA3">
      <w:pPr>
        <w:rPr>
          <w:rFonts w:hint="eastAsia" w:ascii="宋体" w:hAnsi="宋体" w:cs="宋体"/>
          <w:color w:val="000000"/>
          <w:sz w:val="32"/>
          <w:szCs w:val="32"/>
          <w:highlight w:val="none"/>
          <w:shd w:val="clear" w:color="auto" w:fill="auto"/>
        </w:rPr>
      </w:pPr>
    </w:p>
    <w:p w14:paraId="12EA9C5A">
      <w:pPr>
        <w:pStyle w:val="193"/>
        <w:rPr>
          <w:rFonts w:hint="eastAsia" w:ascii="宋体" w:hAnsi="宋体" w:cs="宋体"/>
          <w:color w:val="000000"/>
          <w:sz w:val="32"/>
          <w:szCs w:val="32"/>
          <w:highlight w:val="none"/>
          <w:shd w:val="clear" w:color="auto" w:fill="auto"/>
        </w:rPr>
      </w:pPr>
    </w:p>
    <w:p w14:paraId="1F743143">
      <w:pPr>
        <w:rPr>
          <w:rFonts w:hint="eastAsia"/>
        </w:rPr>
      </w:pPr>
    </w:p>
    <w:p w14:paraId="7C527D7D">
      <w:pPr>
        <w:widowControl/>
        <w:spacing w:before="50" w:after="50"/>
        <w:jc w:val="center"/>
        <w:rPr>
          <w:rFonts w:hint="eastAsia" w:ascii="宋体" w:hAnsi="宋体" w:cs="宋体"/>
          <w:color w:val="000000"/>
          <w:sz w:val="32"/>
          <w:szCs w:val="32"/>
          <w:highlight w:val="none"/>
          <w:shd w:val="clear" w:color="auto" w:fill="auto"/>
        </w:rPr>
      </w:pPr>
    </w:p>
    <w:p w14:paraId="159908E2">
      <w:pPr>
        <w:widowControl/>
        <w:spacing w:before="50" w:after="50"/>
        <w:jc w:val="center"/>
        <w:rPr>
          <w:rFonts w:hint="eastAsia" w:ascii="宋体" w:hAnsi="宋体" w:cs="宋体"/>
          <w:color w:val="000000"/>
          <w:sz w:val="32"/>
          <w:szCs w:val="32"/>
          <w:highlight w:val="none"/>
          <w:shd w:val="clear" w:color="auto" w:fill="auto"/>
        </w:rPr>
      </w:pPr>
    </w:p>
    <w:p w14:paraId="03E290BB">
      <w:pPr>
        <w:widowControl/>
        <w:spacing w:before="50" w:after="50"/>
        <w:jc w:val="center"/>
        <w:rPr>
          <w:rFonts w:hint="eastAsia" w:ascii="宋体" w:hAnsi="宋体" w:cs="宋体"/>
          <w:color w:val="000000"/>
          <w:sz w:val="32"/>
          <w:szCs w:val="32"/>
          <w:highlight w:val="none"/>
          <w:shd w:val="clear" w:color="auto" w:fill="auto"/>
        </w:rPr>
      </w:pPr>
    </w:p>
    <w:p w14:paraId="1FC5D682">
      <w:pPr>
        <w:rPr>
          <w:rFonts w:hint="eastAsia" w:ascii="宋体" w:hAnsi="宋体" w:cs="宋体"/>
          <w:color w:val="000000"/>
          <w:sz w:val="32"/>
          <w:szCs w:val="32"/>
          <w:highlight w:val="none"/>
          <w:shd w:val="clear" w:color="auto" w:fill="auto"/>
          <w:lang w:val="en-US" w:eastAsia="zh-CN"/>
        </w:rPr>
      </w:pPr>
      <w:r>
        <w:rPr>
          <w:rFonts w:hint="eastAsia" w:ascii="宋体" w:hAnsi="宋体" w:cs="宋体"/>
          <w:color w:val="000000"/>
          <w:sz w:val="32"/>
          <w:szCs w:val="32"/>
          <w:highlight w:val="none"/>
          <w:shd w:val="clear" w:color="auto" w:fill="auto"/>
          <w:lang w:val="en-US" w:eastAsia="zh-CN"/>
        </w:rPr>
        <w:br w:type="page"/>
      </w:r>
    </w:p>
    <w:p w14:paraId="72D93DAD">
      <w:pPr>
        <w:widowControl/>
        <w:spacing w:before="50" w:after="50"/>
        <w:jc w:val="center"/>
        <w:rPr>
          <w:rFonts w:ascii="宋体" w:hAnsi="宋体" w:cs="宋体"/>
          <w:color w:val="000000"/>
          <w:sz w:val="24"/>
          <w:highlight w:val="none"/>
          <w:shd w:val="clear" w:color="auto" w:fill="auto"/>
        </w:rPr>
      </w:pPr>
      <w:r>
        <w:rPr>
          <w:rFonts w:hint="eastAsia" w:ascii="宋体" w:hAnsi="宋体" w:cs="宋体"/>
          <w:color w:val="000000"/>
          <w:sz w:val="32"/>
          <w:szCs w:val="32"/>
          <w:highlight w:val="none"/>
          <w:shd w:val="clear" w:color="auto" w:fill="auto"/>
          <w:lang w:val="en-US" w:eastAsia="zh-CN"/>
        </w:rPr>
        <w:t>十六</w:t>
      </w:r>
      <w:r>
        <w:rPr>
          <w:rFonts w:hint="eastAsia" w:ascii="宋体" w:hAnsi="宋体" w:cs="宋体"/>
          <w:color w:val="000000"/>
          <w:sz w:val="32"/>
          <w:szCs w:val="32"/>
          <w:highlight w:val="none"/>
          <w:shd w:val="clear" w:color="auto" w:fill="auto"/>
        </w:rPr>
        <w:t>、</w:t>
      </w:r>
      <w:r>
        <w:rPr>
          <w:rFonts w:hint="eastAsia" w:ascii="宋体" w:hAnsi="宋体" w:cs="宋体"/>
          <w:color w:val="000000"/>
          <w:sz w:val="32"/>
          <w:szCs w:val="32"/>
          <w:highlight w:val="none"/>
          <w:shd w:val="clear" w:color="auto" w:fill="auto"/>
          <w:lang w:val="en-US" w:eastAsia="zh-CN"/>
        </w:rPr>
        <w:t>售后服务方案</w:t>
      </w:r>
    </w:p>
    <w:p w14:paraId="43014B64">
      <w:pPr>
        <w:pStyle w:val="212"/>
        <w:tabs>
          <w:tab w:val="left" w:pos="2160"/>
        </w:tabs>
        <w:spacing w:beforeAutospacing="0" w:afterAutospacing="0"/>
        <w:jc w:val="both"/>
        <w:rPr>
          <w:color w:val="000000"/>
          <w:highlight w:val="none"/>
          <w:shd w:val="clear" w:color="auto" w:fill="auto"/>
        </w:rPr>
      </w:pPr>
    </w:p>
    <w:p w14:paraId="18B784CD">
      <w:pPr>
        <w:widowControl/>
        <w:spacing w:line="499" w:lineRule="atLeast"/>
        <w:ind w:firstLine="1600"/>
        <w:rPr>
          <w:rFonts w:ascii="宋体" w:hAnsi="宋体" w:cs="宋体"/>
          <w:color w:val="000000"/>
          <w:sz w:val="32"/>
          <w:szCs w:val="32"/>
          <w:highlight w:val="none"/>
          <w:shd w:val="clear" w:color="auto" w:fill="auto"/>
        </w:rPr>
      </w:pPr>
    </w:p>
    <w:p w14:paraId="25AA7BC6">
      <w:pPr>
        <w:widowControl/>
        <w:spacing w:line="499" w:lineRule="atLeast"/>
        <w:ind w:firstLine="1600"/>
        <w:rPr>
          <w:rFonts w:ascii="宋体" w:hAnsi="宋体" w:cs="宋体"/>
          <w:color w:val="000000"/>
          <w:sz w:val="32"/>
          <w:szCs w:val="32"/>
          <w:highlight w:val="none"/>
          <w:shd w:val="clear" w:color="auto" w:fill="auto"/>
        </w:rPr>
      </w:pPr>
    </w:p>
    <w:p w14:paraId="5BBD6E84">
      <w:pPr>
        <w:widowControl/>
        <w:spacing w:line="499" w:lineRule="atLeast"/>
        <w:ind w:firstLine="1600"/>
        <w:rPr>
          <w:rFonts w:ascii="宋体" w:hAnsi="宋体" w:cs="宋体"/>
          <w:color w:val="000000"/>
          <w:sz w:val="32"/>
          <w:szCs w:val="32"/>
          <w:highlight w:val="none"/>
          <w:shd w:val="clear" w:color="auto" w:fill="auto"/>
        </w:rPr>
      </w:pPr>
    </w:p>
    <w:p w14:paraId="4352C952">
      <w:pPr>
        <w:widowControl/>
        <w:spacing w:line="499" w:lineRule="atLeast"/>
        <w:ind w:firstLine="1600"/>
        <w:rPr>
          <w:rFonts w:ascii="宋体" w:hAnsi="宋体" w:cs="宋体"/>
          <w:color w:val="000000"/>
          <w:sz w:val="32"/>
          <w:szCs w:val="32"/>
          <w:highlight w:val="none"/>
          <w:shd w:val="clear" w:color="auto" w:fill="auto"/>
        </w:rPr>
      </w:pPr>
    </w:p>
    <w:p w14:paraId="4255D128">
      <w:pPr>
        <w:widowControl/>
        <w:spacing w:line="499" w:lineRule="atLeast"/>
        <w:ind w:firstLine="1600"/>
        <w:rPr>
          <w:rFonts w:ascii="宋体" w:hAnsi="宋体" w:cs="宋体"/>
          <w:color w:val="000000"/>
          <w:sz w:val="32"/>
          <w:szCs w:val="32"/>
          <w:highlight w:val="none"/>
          <w:shd w:val="clear" w:color="auto" w:fill="auto"/>
        </w:rPr>
      </w:pPr>
    </w:p>
    <w:p w14:paraId="6CF75FD6">
      <w:pPr>
        <w:widowControl/>
        <w:spacing w:line="499" w:lineRule="atLeast"/>
        <w:ind w:firstLine="1600"/>
        <w:rPr>
          <w:rFonts w:ascii="宋体" w:hAnsi="宋体" w:cs="宋体"/>
          <w:color w:val="000000"/>
          <w:sz w:val="32"/>
          <w:szCs w:val="32"/>
          <w:highlight w:val="none"/>
          <w:shd w:val="clear" w:color="auto" w:fill="auto"/>
        </w:rPr>
      </w:pPr>
    </w:p>
    <w:p w14:paraId="39AC4627">
      <w:pPr>
        <w:widowControl/>
        <w:spacing w:line="499" w:lineRule="atLeast"/>
        <w:ind w:firstLine="1600"/>
        <w:rPr>
          <w:rFonts w:ascii="宋体" w:hAnsi="宋体" w:cs="宋体"/>
          <w:color w:val="000000"/>
          <w:sz w:val="32"/>
          <w:szCs w:val="32"/>
          <w:highlight w:val="none"/>
          <w:shd w:val="clear" w:color="auto" w:fill="auto"/>
        </w:rPr>
      </w:pPr>
    </w:p>
    <w:p w14:paraId="0ED3C6DB">
      <w:pPr>
        <w:widowControl/>
        <w:spacing w:line="499" w:lineRule="atLeast"/>
        <w:ind w:firstLine="1600"/>
        <w:rPr>
          <w:rFonts w:ascii="宋体" w:hAnsi="宋体" w:cs="宋体"/>
          <w:color w:val="000000"/>
          <w:sz w:val="32"/>
          <w:szCs w:val="32"/>
          <w:highlight w:val="none"/>
          <w:shd w:val="clear" w:color="auto" w:fill="auto"/>
        </w:rPr>
      </w:pPr>
    </w:p>
    <w:p w14:paraId="11A2D3FB">
      <w:pPr>
        <w:widowControl/>
        <w:spacing w:line="499" w:lineRule="atLeast"/>
        <w:ind w:firstLine="1600"/>
        <w:rPr>
          <w:rFonts w:ascii="宋体" w:hAnsi="宋体" w:cs="宋体"/>
          <w:color w:val="000000"/>
          <w:sz w:val="32"/>
          <w:szCs w:val="32"/>
          <w:highlight w:val="none"/>
          <w:shd w:val="clear" w:color="auto" w:fill="auto"/>
        </w:rPr>
      </w:pPr>
    </w:p>
    <w:p w14:paraId="7F67C366">
      <w:pPr>
        <w:widowControl/>
        <w:spacing w:line="499" w:lineRule="atLeast"/>
        <w:ind w:firstLine="1600"/>
        <w:rPr>
          <w:rFonts w:ascii="宋体" w:hAnsi="宋体" w:cs="宋体"/>
          <w:color w:val="000000"/>
          <w:sz w:val="32"/>
          <w:szCs w:val="32"/>
          <w:highlight w:val="none"/>
          <w:shd w:val="clear" w:color="auto" w:fill="auto"/>
        </w:rPr>
      </w:pPr>
    </w:p>
    <w:p w14:paraId="72D09CCF">
      <w:pPr>
        <w:widowControl/>
        <w:spacing w:line="499" w:lineRule="atLeast"/>
        <w:ind w:firstLine="1600"/>
        <w:rPr>
          <w:rFonts w:ascii="宋体" w:hAnsi="宋体" w:cs="宋体"/>
          <w:color w:val="000000"/>
          <w:sz w:val="32"/>
          <w:szCs w:val="32"/>
          <w:highlight w:val="none"/>
          <w:shd w:val="clear" w:color="auto" w:fill="auto"/>
        </w:rPr>
      </w:pPr>
    </w:p>
    <w:p w14:paraId="24512277">
      <w:pPr>
        <w:rPr>
          <w:rFonts w:hint="eastAsia" w:ascii="宋体" w:hAnsi="宋体" w:cs="宋体"/>
          <w:b/>
          <w:bCs/>
          <w:color w:val="000000"/>
          <w:sz w:val="32"/>
          <w:szCs w:val="32"/>
          <w:highlight w:val="none"/>
          <w:shd w:val="clear" w:color="auto" w:fill="auto"/>
        </w:rPr>
      </w:pPr>
      <w:r>
        <w:rPr>
          <w:rFonts w:hint="eastAsia" w:ascii="宋体" w:hAnsi="宋体" w:cs="宋体"/>
          <w:b/>
          <w:bCs/>
          <w:color w:val="000000"/>
          <w:sz w:val="32"/>
          <w:szCs w:val="32"/>
          <w:highlight w:val="none"/>
          <w:shd w:val="clear" w:color="auto" w:fill="auto"/>
        </w:rPr>
        <w:br w:type="page"/>
      </w:r>
    </w:p>
    <w:p w14:paraId="7A61B9EF">
      <w:pPr>
        <w:widowControl/>
        <w:spacing w:line="499" w:lineRule="atLeast"/>
        <w:ind w:firstLine="1600"/>
        <w:rPr>
          <w:rFonts w:ascii="宋体" w:hAnsi="宋体" w:cs="宋体"/>
          <w:b/>
          <w:bCs/>
          <w:color w:val="000000"/>
          <w:sz w:val="24"/>
          <w:highlight w:val="none"/>
          <w:shd w:val="clear" w:color="auto" w:fill="auto"/>
        </w:rPr>
      </w:pPr>
      <w:r>
        <w:rPr>
          <w:rFonts w:hint="eastAsia" w:ascii="宋体" w:hAnsi="宋体" w:cs="宋体"/>
          <w:b/>
          <w:bCs/>
          <w:color w:val="000000"/>
          <w:sz w:val="32"/>
          <w:szCs w:val="32"/>
          <w:highlight w:val="none"/>
          <w:shd w:val="clear" w:color="auto" w:fill="auto"/>
        </w:rPr>
        <w:t>十</w:t>
      </w:r>
      <w:r>
        <w:rPr>
          <w:rFonts w:hint="eastAsia" w:ascii="宋体" w:hAnsi="宋体" w:cs="宋体"/>
          <w:b/>
          <w:bCs/>
          <w:color w:val="000000"/>
          <w:sz w:val="32"/>
          <w:szCs w:val="32"/>
          <w:highlight w:val="none"/>
          <w:shd w:val="clear" w:color="auto" w:fill="auto"/>
          <w:lang w:val="en-US" w:eastAsia="zh-CN"/>
        </w:rPr>
        <w:t>七</w:t>
      </w:r>
      <w:r>
        <w:rPr>
          <w:rFonts w:hint="eastAsia" w:ascii="宋体" w:hAnsi="宋体" w:cs="宋体"/>
          <w:b/>
          <w:bCs/>
          <w:color w:val="000000"/>
          <w:sz w:val="32"/>
          <w:szCs w:val="32"/>
          <w:highlight w:val="none"/>
          <w:shd w:val="clear" w:color="auto" w:fill="auto"/>
        </w:rPr>
        <w:t>、盐城市政府采购事前信用承诺书</w:t>
      </w:r>
    </w:p>
    <w:p w14:paraId="06934A00">
      <w:pPr>
        <w:widowControl/>
        <w:spacing w:line="499" w:lineRule="atLeast"/>
        <w:ind w:firstLine="640"/>
        <w:jc w:val="left"/>
        <w:rPr>
          <w:rFonts w:ascii="宋体" w:hAnsi="宋体" w:cs="宋体"/>
          <w:color w:val="000000"/>
          <w:sz w:val="24"/>
          <w:highlight w:val="none"/>
          <w:shd w:val="clear" w:color="auto" w:fill="auto"/>
        </w:rPr>
      </w:pPr>
      <w:r>
        <w:rPr>
          <w:rFonts w:hint="eastAsia" w:ascii="宋体" w:hAnsi="宋体" w:cs="宋体"/>
          <w:color w:val="000000"/>
          <w:sz w:val="32"/>
          <w:szCs w:val="32"/>
          <w:highlight w:val="none"/>
          <w:shd w:val="clear" w:color="auto" w:fill="auto"/>
        </w:rPr>
        <w:t> </w:t>
      </w:r>
    </w:p>
    <w:p w14:paraId="420A1CC7">
      <w:pPr>
        <w:widowControl/>
        <w:spacing w:line="499" w:lineRule="atLeast"/>
        <w:ind w:firstLine="480"/>
        <w:jc w:val="left"/>
        <w:rPr>
          <w:rFonts w:hint="eastAsia" w:ascii="宋体" w:hAnsi="宋体" w:cs="宋体"/>
          <w:color w:val="000000"/>
          <w:sz w:val="24"/>
          <w:highlight w:val="none"/>
          <w:shd w:val="clear" w:color="auto" w:fill="auto"/>
        </w:rPr>
      </w:pPr>
      <w:r>
        <w:rPr>
          <w:rFonts w:hint="eastAsia" w:ascii="宋体" w:hAnsi="宋体" w:cs="宋体"/>
          <w:color w:val="000000"/>
          <w:sz w:val="24"/>
          <w:highlight w:val="none"/>
          <w:shd w:val="clear" w:color="auto" w:fill="auto"/>
        </w:rPr>
        <w:t>为营造我市公开、公平、公正、诚实守信的政府采购交易环境，树立诚信守法的投标人形象，本人代表本单位作出以下承诺：</w:t>
      </w:r>
    </w:p>
    <w:p w14:paraId="66A55F4B">
      <w:pPr>
        <w:widowControl/>
        <w:spacing w:line="499" w:lineRule="atLeast"/>
        <w:ind w:firstLine="480"/>
        <w:jc w:val="left"/>
        <w:rPr>
          <w:rFonts w:hint="eastAsia" w:ascii="宋体" w:hAnsi="宋体" w:cs="宋体"/>
          <w:color w:val="000000"/>
          <w:sz w:val="24"/>
          <w:highlight w:val="none"/>
          <w:shd w:val="clear" w:color="auto" w:fill="auto"/>
        </w:rPr>
      </w:pPr>
      <w:r>
        <w:rPr>
          <w:rFonts w:hint="eastAsia" w:ascii="宋体" w:hAnsi="宋体" w:cs="宋体"/>
          <w:color w:val="000000"/>
          <w:sz w:val="24"/>
          <w:highlight w:val="none"/>
          <w:shd w:val="clear" w:color="auto" w:fill="auto"/>
        </w:rPr>
        <w:t>（一）本单位对所提交的企（事）业单位基本信息、企（事）业负责人、项目负责人、技术负责人、从业资质和资格、业绩、财务状况、信誉等所有资料，均合法、真实、准确、有效，无任何伪造、修改、</w:t>
      </w:r>
      <w:r>
        <w:rPr>
          <w:rFonts w:hint="eastAsia" w:ascii="宋体" w:hAnsi="宋体" w:cs="宋体"/>
          <w:color w:val="000000"/>
          <w:sz w:val="24"/>
          <w:highlight w:val="none"/>
          <w:shd w:val="clear" w:color="auto" w:fill="auto"/>
          <w:lang w:eastAsia="zh-CN"/>
        </w:rPr>
        <w:t>虚假成分</w:t>
      </w:r>
      <w:r>
        <w:rPr>
          <w:rFonts w:hint="eastAsia" w:ascii="宋体" w:hAnsi="宋体" w:cs="宋体"/>
          <w:color w:val="000000"/>
          <w:sz w:val="24"/>
          <w:highlight w:val="none"/>
          <w:shd w:val="clear" w:color="auto" w:fill="auto"/>
        </w:rPr>
        <w:t>，并对所提供资料的真实性负责；</w:t>
      </w:r>
    </w:p>
    <w:p w14:paraId="427EB634">
      <w:pPr>
        <w:widowControl/>
        <w:spacing w:line="499" w:lineRule="atLeast"/>
        <w:ind w:firstLine="480"/>
        <w:jc w:val="left"/>
        <w:rPr>
          <w:rFonts w:hint="eastAsia" w:ascii="宋体" w:hAnsi="宋体" w:cs="宋体"/>
          <w:color w:val="000000"/>
          <w:sz w:val="24"/>
          <w:highlight w:val="none"/>
          <w:shd w:val="clear" w:color="auto" w:fill="auto"/>
        </w:rPr>
      </w:pPr>
      <w:r>
        <w:rPr>
          <w:rFonts w:hint="eastAsia" w:ascii="宋体" w:hAnsi="宋体" w:cs="宋体"/>
          <w:color w:val="000000"/>
          <w:sz w:val="24"/>
          <w:highlight w:val="none"/>
          <w:shd w:val="clear" w:color="auto" w:fill="auto"/>
        </w:rPr>
        <w:t>（二）本单位无涉及政府采购活动的违法、违规不良记录，我公司及相关负责人无因存在重大隐患整改不力、发生有重大社会影响生产安全事故或其他严重违法违规行为而被列入失信联合惩戒的不良记录；</w:t>
      </w:r>
    </w:p>
    <w:p w14:paraId="25DE5E2A">
      <w:pPr>
        <w:widowControl/>
        <w:spacing w:line="499" w:lineRule="atLeast"/>
        <w:ind w:firstLine="480"/>
        <w:jc w:val="left"/>
        <w:rPr>
          <w:rFonts w:hint="eastAsia" w:ascii="宋体" w:hAnsi="宋体" w:cs="宋体"/>
          <w:color w:val="000000"/>
          <w:sz w:val="24"/>
          <w:highlight w:val="none"/>
          <w:shd w:val="clear" w:color="auto" w:fill="auto"/>
        </w:rPr>
      </w:pPr>
      <w:r>
        <w:rPr>
          <w:rFonts w:hint="eastAsia" w:ascii="宋体" w:hAnsi="宋体" w:cs="宋体"/>
          <w:color w:val="000000"/>
          <w:sz w:val="24"/>
          <w:highlight w:val="none"/>
          <w:shd w:val="clear" w:color="auto" w:fill="auto"/>
        </w:rPr>
        <w:t xml:space="preserve">（三）严格依照国家和省、市关于政府采购的法律、法规、规章、规范性文件，参加政府采购投标活动；积极履行社会责任，促进廉政建设； </w:t>
      </w:r>
    </w:p>
    <w:p w14:paraId="23E3148F">
      <w:pPr>
        <w:widowControl/>
        <w:spacing w:line="499" w:lineRule="atLeast"/>
        <w:ind w:firstLine="480"/>
        <w:jc w:val="left"/>
        <w:rPr>
          <w:rFonts w:hint="eastAsia" w:ascii="宋体" w:hAnsi="宋体" w:cs="宋体"/>
          <w:color w:val="000000"/>
          <w:sz w:val="24"/>
          <w:highlight w:val="none"/>
          <w:shd w:val="clear" w:color="auto" w:fill="auto"/>
        </w:rPr>
      </w:pPr>
      <w:r>
        <w:rPr>
          <w:rFonts w:hint="eastAsia" w:ascii="宋体" w:hAnsi="宋体" w:cs="宋体"/>
          <w:color w:val="000000"/>
          <w:sz w:val="24"/>
          <w:highlight w:val="none"/>
          <w:shd w:val="clear" w:color="auto" w:fill="auto"/>
        </w:rPr>
        <w:t>（四）严格遵守即时信息公示规定，及时</w:t>
      </w:r>
      <w:r>
        <w:rPr>
          <w:rFonts w:hint="eastAsia" w:ascii="宋体" w:hAnsi="宋体" w:cs="宋体"/>
          <w:color w:val="000000"/>
          <w:sz w:val="24"/>
          <w:highlight w:val="none"/>
          <w:shd w:val="clear" w:color="auto" w:fill="auto"/>
          <w:lang w:eastAsia="zh-CN"/>
        </w:rPr>
        <w:t>维护和更新</w:t>
      </w:r>
      <w:r>
        <w:rPr>
          <w:rFonts w:hint="eastAsia" w:ascii="宋体" w:hAnsi="宋体" w:cs="宋体"/>
          <w:color w:val="000000"/>
          <w:sz w:val="24"/>
          <w:highlight w:val="none"/>
          <w:shd w:val="clear" w:color="auto" w:fill="auto"/>
        </w:rPr>
        <w:t>盐城市政府采购网中与本单位相关的信息；</w:t>
      </w:r>
    </w:p>
    <w:p w14:paraId="3D035084">
      <w:pPr>
        <w:widowControl/>
        <w:spacing w:line="499" w:lineRule="atLeast"/>
        <w:ind w:firstLine="480"/>
        <w:jc w:val="left"/>
        <w:rPr>
          <w:rFonts w:hint="eastAsia" w:ascii="宋体" w:hAnsi="宋体" w:cs="宋体"/>
          <w:color w:val="000000"/>
          <w:sz w:val="24"/>
          <w:highlight w:val="none"/>
          <w:shd w:val="clear" w:color="auto" w:fill="auto"/>
        </w:rPr>
      </w:pPr>
      <w:r>
        <w:rPr>
          <w:rFonts w:hint="eastAsia" w:ascii="宋体" w:hAnsi="宋体" w:cs="宋体"/>
          <w:color w:val="000000"/>
          <w:sz w:val="24"/>
          <w:highlight w:val="none"/>
          <w:shd w:val="clear" w:color="auto" w:fill="auto"/>
        </w:rPr>
        <w:t>（五）自我约束、自我管理，守合同、重信用，自觉维护政府采购交易的良好秩序，与参与本次政府采购活动的其他供应商不存在直接控股或管理关系，不参与围标串标、弄虚作假、骗取中标、干扰评标、违约毁约等行为；</w:t>
      </w:r>
    </w:p>
    <w:p w14:paraId="627975CB">
      <w:pPr>
        <w:widowControl/>
        <w:spacing w:line="499" w:lineRule="atLeast"/>
        <w:ind w:firstLine="480"/>
        <w:jc w:val="left"/>
        <w:rPr>
          <w:rFonts w:ascii="宋体" w:hAnsi="宋体" w:cs="宋体"/>
          <w:color w:val="000000"/>
          <w:sz w:val="24"/>
          <w:highlight w:val="none"/>
          <w:shd w:val="clear" w:color="auto" w:fill="auto"/>
        </w:rPr>
      </w:pPr>
      <w:r>
        <w:rPr>
          <w:rFonts w:hint="eastAsia" w:ascii="宋体" w:hAnsi="宋体" w:cs="宋体"/>
          <w:color w:val="000000"/>
          <w:sz w:val="24"/>
          <w:highlight w:val="none"/>
          <w:shd w:val="clear" w:color="auto" w:fill="auto"/>
        </w:rPr>
        <w:t>（六）自觉接受政府、行业组织、社会公众、新闻舆论的监督；</w:t>
      </w:r>
    </w:p>
    <w:p w14:paraId="2E67EEF5">
      <w:pPr>
        <w:widowControl/>
        <w:spacing w:line="499" w:lineRule="atLeast"/>
        <w:ind w:firstLine="480"/>
        <w:jc w:val="left"/>
        <w:rPr>
          <w:rFonts w:hint="eastAsia" w:ascii="宋体" w:hAnsi="宋体" w:cs="宋体"/>
          <w:color w:val="000000"/>
          <w:sz w:val="24"/>
          <w:highlight w:val="none"/>
          <w:shd w:val="clear" w:color="auto" w:fill="auto"/>
        </w:rPr>
      </w:pPr>
      <w:r>
        <w:rPr>
          <w:rFonts w:hint="eastAsia" w:ascii="宋体" w:hAnsi="宋体" w:cs="宋体"/>
          <w:color w:val="000000"/>
          <w:sz w:val="24"/>
          <w:highlight w:val="none"/>
          <w:shd w:val="clear" w:color="auto" w:fill="auto"/>
        </w:rPr>
        <w:t>（七）本单位自愿接受政府采购监督管理机构和有关行政监督部门的依法检查。如发生违法违规或不良失信行为，自愿接受政府采购监督管理机构和有关行政监督部门依法给予的行政处罚（处理），并依法承担相应责任；</w:t>
      </w:r>
    </w:p>
    <w:p w14:paraId="48839386">
      <w:pPr>
        <w:widowControl/>
        <w:spacing w:line="499" w:lineRule="atLeast"/>
        <w:ind w:firstLine="480"/>
        <w:jc w:val="left"/>
        <w:rPr>
          <w:rFonts w:ascii="宋体" w:hAnsi="宋体" w:cs="宋体"/>
          <w:color w:val="000000"/>
          <w:sz w:val="24"/>
          <w:highlight w:val="none"/>
          <w:shd w:val="clear" w:color="auto" w:fill="auto"/>
        </w:rPr>
      </w:pPr>
      <w:r>
        <w:rPr>
          <w:rFonts w:hint="eastAsia" w:ascii="宋体" w:hAnsi="宋体" w:cs="宋体"/>
          <w:color w:val="000000"/>
          <w:sz w:val="24"/>
          <w:highlight w:val="none"/>
          <w:shd w:val="clear" w:color="auto" w:fill="auto"/>
        </w:rPr>
        <w:t>（八）本人已认真阅读了上述承诺，并向本单位员工作了宣传教育。</w:t>
      </w:r>
    </w:p>
    <w:p w14:paraId="0964EC76">
      <w:pPr>
        <w:widowControl/>
        <w:spacing w:line="499" w:lineRule="atLeast"/>
        <w:jc w:val="left"/>
        <w:rPr>
          <w:rFonts w:ascii="宋体" w:hAnsi="宋体" w:cs="宋体"/>
          <w:color w:val="000000"/>
          <w:sz w:val="24"/>
          <w:highlight w:val="none"/>
          <w:shd w:val="clear" w:color="auto" w:fill="auto"/>
        </w:rPr>
      </w:pPr>
      <w:r>
        <w:rPr>
          <w:rFonts w:hint="eastAsia" w:ascii="宋体" w:hAnsi="宋体" w:cs="宋体"/>
          <w:color w:val="000000"/>
          <w:sz w:val="24"/>
          <w:highlight w:val="none"/>
          <w:shd w:val="clear" w:color="auto" w:fill="auto"/>
        </w:rPr>
        <w:t>                                      法定代表人（盖章或签名）：</w:t>
      </w:r>
    </w:p>
    <w:p w14:paraId="2B2752D0">
      <w:pPr>
        <w:widowControl/>
        <w:spacing w:line="499" w:lineRule="atLeast"/>
        <w:jc w:val="center"/>
        <w:rPr>
          <w:rFonts w:ascii="宋体" w:hAnsi="宋体" w:cs="宋体"/>
          <w:color w:val="000000"/>
          <w:sz w:val="24"/>
          <w:highlight w:val="none"/>
          <w:shd w:val="clear" w:color="auto" w:fill="auto"/>
        </w:rPr>
      </w:pPr>
      <w:r>
        <w:rPr>
          <w:rFonts w:hint="eastAsia" w:ascii="宋体" w:hAnsi="宋体" w:cs="宋体"/>
          <w:color w:val="000000"/>
          <w:sz w:val="24"/>
          <w:highlight w:val="none"/>
          <w:shd w:val="clear" w:color="auto" w:fill="auto"/>
        </w:rPr>
        <w:t>                   单位名称（盖章）：</w:t>
      </w:r>
    </w:p>
    <w:p w14:paraId="454BB7BC">
      <w:pPr>
        <w:widowControl/>
        <w:spacing w:line="499" w:lineRule="atLeast"/>
        <w:jc w:val="center"/>
        <w:rPr>
          <w:rFonts w:ascii="宋体" w:hAnsi="宋体" w:cs="宋体"/>
          <w:color w:val="000000"/>
          <w:sz w:val="24"/>
          <w:highlight w:val="none"/>
          <w:shd w:val="clear" w:color="auto" w:fill="auto"/>
        </w:rPr>
      </w:pPr>
      <w:r>
        <w:rPr>
          <w:rFonts w:hint="eastAsia" w:ascii="宋体" w:hAnsi="宋体" w:cs="宋体"/>
          <w:color w:val="000000"/>
          <w:sz w:val="24"/>
          <w:highlight w:val="none"/>
          <w:shd w:val="clear" w:color="auto" w:fill="auto"/>
        </w:rPr>
        <w:t>                      年月日</w:t>
      </w:r>
    </w:p>
    <w:p w14:paraId="3FFC91F9">
      <w:pPr>
        <w:pStyle w:val="212"/>
        <w:spacing w:beforeAutospacing="0" w:afterAutospacing="0"/>
        <w:jc w:val="center"/>
        <w:rPr>
          <w:color w:val="000000"/>
          <w:highlight w:val="none"/>
          <w:shd w:val="clear" w:color="auto" w:fill="auto"/>
        </w:rPr>
      </w:pPr>
    </w:p>
    <w:p w14:paraId="49C6E810">
      <w:pPr>
        <w:rPr>
          <w:color w:val="000000"/>
          <w:highlight w:val="none"/>
        </w:rPr>
      </w:pPr>
    </w:p>
    <w:p w14:paraId="5128CFA6">
      <w:pPr>
        <w:rPr>
          <w:color w:val="000000"/>
          <w:highlight w:val="none"/>
          <w:shd w:val="clear" w:color="auto" w:fill="auto"/>
        </w:rPr>
      </w:pPr>
    </w:p>
    <w:p w14:paraId="11B270F4">
      <w:pPr>
        <w:pStyle w:val="212"/>
        <w:spacing w:beforeAutospacing="0" w:afterAutospacing="0"/>
        <w:jc w:val="center"/>
        <w:rPr>
          <w:b/>
          <w:color w:val="000000"/>
          <w:sz w:val="32"/>
          <w:szCs w:val="32"/>
          <w:highlight w:val="none"/>
          <w:shd w:val="clear" w:color="auto" w:fill="auto"/>
        </w:rPr>
      </w:pPr>
      <w:r>
        <w:rPr>
          <w:rFonts w:hint="eastAsia"/>
          <w:b/>
          <w:color w:val="000000"/>
          <w:sz w:val="32"/>
          <w:szCs w:val="32"/>
          <w:highlight w:val="none"/>
          <w:shd w:val="clear" w:color="auto" w:fill="auto"/>
        </w:rPr>
        <w:t>质疑函范本</w:t>
      </w:r>
    </w:p>
    <w:p w14:paraId="656C863C">
      <w:pPr>
        <w:pStyle w:val="212"/>
        <w:spacing w:before="290" w:beforeAutospacing="0" w:afterAutospacing="0" w:line="360" w:lineRule="auto"/>
        <w:jc w:val="both"/>
        <w:rPr>
          <w:color w:val="000000"/>
          <w:highlight w:val="none"/>
          <w:shd w:val="clear" w:color="auto" w:fill="auto"/>
        </w:rPr>
      </w:pPr>
      <w:r>
        <w:rPr>
          <w:rFonts w:hint="eastAsia"/>
          <w:color w:val="000000"/>
          <w:highlight w:val="none"/>
          <w:shd w:val="clear" w:color="auto" w:fill="auto"/>
        </w:rPr>
        <w:t>一、质疑供应商基本信息</w:t>
      </w:r>
    </w:p>
    <w:p w14:paraId="387F28E7">
      <w:pPr>
        <w:pStyle w:val="212"/>
        <w:spacing w:beforeAutospacing="0" w:afterAutospacing="0" w:line="360" w:lineRule="auto"/>
        <w:jc w:val="both"/>
        <w:rPr>
          <w:color w:val="000000"/>
          <w:highlight w:val="none"/>
          <w:shd w:val="clear" w:color="auto" w:fill="auto"/>
        </w:rPr>
      </w:pPr>
      <w:r>
        <w:rPr>
          <w:rFonts w:hint="eastAsia"/>
          <w:color w:val="000000"/>
          <w:highlight w:val="none"/>
          <w:shd w:val="clear" w:color="auto" w:fill="auto"/>
        </w:rPr>
        <w:t>质疑供应商：</w:t>
      </w:r>
      <w:r>
        <w:rPr>
          <w:rFonts w:hint="eastAsia"/>
          <w:color w:val="000000"/>
          <w:highlight w:val="none"/>
          <w:u w:val="single"/>
          <w:shd w:val="clear" w:color="auto" w:fill="auto"/>
        </w:rPr>
        <w:t>                    </w:t>
      </w:r>
      <w:r>
        <w:rPr>
          <w:rFonts w:hint="eastAsia"/>
          <w:color w:val="000000"/>
          <w:highlight w:val="none"/>
          <w:u w:val="single"/>
          <w:shd w:val="clear" w:color="auto" w:fill="auto"/>
        </w:rPr>
        <w:tab/>
      </w:r>
      <w:r>
        <w:rPr>
          <w:rFonts w:hint="eastAsia"/>
          <w:color w:val="000000"/>
          <w:highlight w:val="none"/>
          <w:u w:val="single"/>
          <w:shd w:val="clear" w:color="auto" w:fill="auto"/>
        </w:rPr>
        <w:t> </w:t>
      </w:r>
      <w:r>
        <w:rPr>
          <w:rFonts w:hint="eastAsia"/>
          <w:color w:val="000000"/>
          <w:highlight w:val="none"/>
          <w:u w:val="single"/>
          <w:shd w:val="clear" w:color="auto" w:fill="auto"/>
        </w:rPr>
        <w:tab/>
      </w:r>
      <w:r>
        <w:rPr>
          <w:rFonts w:hint="eastAsia"/>
          <w:color w:val="000000"/>
          <w:highlight w:val="none"/>
          <w:u w:val="single"/>
          <w:shd w:val="clear" w:color="auto" w:fill="auto"/>
        </w:rPr>
        <w:t xml:space="preserve">       </w:t>
      </w:r>
    </w:p>
    <w:p w14:paraId="2DC20333">
      <w:pPr>
        <w:pStyle w:val="212"/>
        <w:spacing w:beforeAutospacing="0" w:afterAutospacing="0" w:line="360" w:lineRule="auto"/>
        <w:jc w:val="both"/>
        <w:rPr>
          <w:color w:val="000000"/>
          <w:highlight w:val="none"/>
          <w:u w:val="single"/>
          <w:shd w:val="clear" w:color="auto" w:fill="auto"/>
        </w:rPr>
      </w:pPr>
      <w:r>
        <w:rPr>
          <w:rFonts w:hint="eastAsia"/>
          <w:color w:val="000000"/>
          <w:highlight w:val="none"/>
          <w:shd w:val="clear" w:color="auto" w:fill="auto"/>
        </w:rPr>
        <w:t>地址：</w:t>
      </w:r>
      <w:r>
        <w:rPr>
          <w:rFonts w:hint="eastAsia"/>
          <w:color w:val="000000"/>
          <w:highlight w:val="none"/>
          <w:u w:val="single"/>
          <w:shd w:val="clear" w:color="auto" w:fill="auto"/>
        </w:rPr>
        <w:t xml:space="preserve">                      </w:t>
      </w:r>
      <w:r>
        <w:rPr>
          <w:rFonts w:hint="eastAsia"/>
          <w:color w:val="000000"/>
          <w:highlight w:val="none"/>
          <w:u w:val="single"/>
          <w:shd w:val="clear" w:color="auto" w:fill="auto"/>
        </w:rPr>
        <w:tab/>
      </w:r>
      <w:r>
        <w:rPr>
          <w:rFonts w:hint="eastAsia"/>
          <w:color w:val="000000"/>
          <w:highlight w:val="none"/>
          <w:u w:val="single"/>
          <w:shd w:val="clear" w:color="auto" w:fill="auto"/>
        </w:rPr>
        <w:tab/>
      </w:r>
      <w:r>
        <w:rPr>
          <w:rFonts w:hint="eastAsia"/>
          <w:color w:val="000000"/>
          <w:highlight w:val="none"/>
          <w:u w:val="single"/>
          <w:shd w:val="clear" w:color="auto" w:fill="auto"/>
        </w:rPr>
        <w:tab/>
      </w:r>
      <w:r>
        <w:rPr>
          <w:rFonts w:hint="eastAsia"/>
          <w:color w:val="000000"/>
          <w:highlight w:val="none"/>
          <w:u w:val="single"/>
          <w:shd w:val="clear" w:color="auto" w:fill="auto"/>
        </w:rPr>
        <w:t>      </w:t>
      </w:r>
    </w:p>
    <w:p w14:paraId="79C2EA3B">
      <w:pPr>
        <w:pStyle w:val="212"/>
        <w:spacing w:beforeAutospacing="0" w:afterAutospacing="0" w:line="360" w:lineRule="auto"/>
        <w:jc w:val="both"/>
        <w:rPr>
          <w:color w:val="000000"/>
          <w:highlight w:val="none"/>
          <w:shd w:val="clear" w:color="auto" w:fill="auto"/>
        </w:rPr>
      </w:pPr>
      <w:r>
        <w:rPr>
          <w:rFonts w:hint="eastAsia"/>
          <w:color w:val="000000"/>
          <w:highlight w:val="none"/>
          <w:shd w:val="clear" w:color="auto" w:fill="auto"/>
        </w:rPr>
        <w:t>邮编：</w:t>
      </w:r>
      <w:r>
        <w:rPr>
          <w:rFonts w:hint="eastAsia"/>
          <w:color w:val="000000"/>
          <w:highlight w:val="none"/>
          <w:u w:val="single"/>
          <w:shd w:val="clear" w:color="auto" w:fill="auto"/>
        </w:rPr>
        <w:t>                       </w:t>
      </w:r>
      <w:r>
        <w:rPr>
          <w:rFonts w:hint="eastAsia"/>
          <w:color w:val="000000"/>
          <w:highlight w:val="none"/>
          <w:u w:val="single"/>
          <w:shd w:val="clear" w:color="auto" w:fill="auto"/>
        </w:rPr>
        <w:tab/>
      </w:r>
      <w:r>
        <w:rPr>
          <w:rFonts w:hint="eastAsia"/>
          <w:color w:val="000000"/>
          <w:highlight w:val="none"/>
          <w:u w:val="single"/>
          <w:shd w:val="clear" w:color="auto" w:fill="auto"/>
        </w:rPr>
        <w:tab/>
      </w:r>
      <w:r>
        <w:rPr>
          <w:rFonts w:hint="eastAsia"/>
          <w:color w:val="000000"/>
          <w:highlight w:val="none"/>
          <w:u w:val="single"/>
          <w:shd w:val="clear" w:color="auto" w:fill="auto"/>
        </w:rPr>
        <w:t xml:space="preserve">        </w:t>
      </w:r>
    </w:p>
    <w:p w14:paraId="0B77E7B1">
      <w:pPr>
        <w:pStyle w:val="212"/>
        <w:spacing w:beforeAutospacing="0" w:afterAutospacing="0" w:line="360" w:lineRule="auto"/>
        <w:jc w:val="both"/>
        <w:rPr>
          <w:color w:val="000000"/>
          <w:highlight w:val="none"/>
          <w:u w:val="single"/>
          <w:shd w:val="clear" w:color="auto" w:fill="auto"/>
        </w:rPr>
      </w:pPr>
      <w:r>
        <w:rPr>
          <w:rFonts w:hint="eastAsia"/>
          <w:color w:val="000000"/>
          <w:highlight w:val="none"/>
          <w:shd w:val="clear" w:color="auto" w:fill="auto"/>
        </w:rPr>
        <w:t>联系人：</w:t>
      </w:r>
      <w:r>
        <w:rPr>
          <w:rFonts w:hint="eastAsia"/>
          <w:color w:val="000000"/>
          <w:highlight w:val="none"/>
          <w:u w:val="single"/>
          <w:shd w:val="clear" w:color="auto" w:fill="auto"/>
        </w:rPr>
        <w:t>               </w:t>
      </w:r>
      <w:r>
        <w:rPr>
          <w:rFonts w:hint="eastAsia"/>
          <w:color w:val="000000"/>
          <w:highlight w:val="none"/>
          <w:u w:val="single"/>
          <w:shd w:val="clear" w:color="auto" w:fill="auto"/>
        </w:rPr>
        <w:tab/>
      </w:r>
      <w:r>
        <w:rPr>
          <w:rFonts w:hint="eastAsia"/>
          <w:color w:val="000000"/>
          <w:highlight w:val="none"/>
          <w:u w:val="single"/>
          <w:shd w:val="clear" w:color="auto" w:fill="auto"/>
        </w:rPr>
        <w:tab/>
      </w:r>
      <w:r>
        <w:rPr>
          <w:rFonts w:hint="eastAsia"/>
          <w:color w:val="000000"/>
          <w:highlight w:val="none"/>
          <w:u w:val="single"/>
          <w:shd w:val="clear" w:color="auto" w:fill="auto"/>
        </w:rPr>
        <w:tab/>
      </w:r>
      <w:r>
        <w:rPr>
          <w:rFonts w:hint="eastAsia"/>
          <w:color w:val="000000"/>
          <w:highlight w:val="none"/>
          <w:u w:val="single"/>
          <w:shd w:val="clear" w:color="auto" w:fill="auto"/>
        </w:rPr>
        <w:tab/>
      </w:r>
      <w:r>
        <w:rPr>
          <w:rFonts w:hint="eastAsia"/>
          <w:color w:val="000000"/>
          <w:highlight w:val="none"/>
          <w:u w:val="single"/>
          <w:shd w:val="clear" w:color="auto" w:fill="auto"/>
        </w:rPr>
        <w:tab/>
      </w:r>
      <w:r>
        <w:rPr>
          <w:rFonts w:hint="eastAsia"/>
          <w:color w:val="000000"/>
          <w:highlight w:val="none"/>
          <w:u w:val="single"/>
          <w:shd w:val="clear" w:color="auto" w:fill="auto"/>
        </w:rPr>
        <w:tab/>
      </w:r>
      <w:r>
        <w:rPr>
          <w:rFonts w:hint="eastAsia"/>
          <w:color w:val="000000"/>
          <w:highlight w:val="none"/>
          <w:u w:val="single"/>
          <w:shd w:val="clear" w:color="auto" w:fill="auto"/>
        </w:rPr>
        <w:t xml:space="preserve">       </w:t>
      </w:r>
    </w:p>
    <w:p w14:paraId="0039212A">
      <w:pPr>
        <w:pStyle w:val="212"/>
        <w:spacing w:beforeAutospacing="0" w:afterAutospacing="0" w:line="360" w:lineRule="auto"/>
        <w:jc w:val="both"/>
        <w:rPr>
          <w:color w:val="000000"/>
          <w:highlight w:val="none"/>
          <w:shd w:val="clear" w:color="auto" w:fill="auto"/>
        </w:rPr>
      </w:pPr>
      <w:r>
        <w:rPr>
          <w:rFonts w:hint="eastAsia"/>
          <w:color w:val="000000"/>
          <w:highlight w:val="none"/>
          <w:shd w:val="clear" w:color="auto" w:fill="auto"/>
        </w:rPr>
        <w:t>联系电话：</w:t>
      </w:r>
      <w:r>
        <w:rPr>
          <w:rFonts w:hint="eastAsia"/>
          <w:color w:val="000000"/>
          <w:highlight w:val="none"/>
          <w:u w:val="single"/>
          <w:shd w:val="clear" w:color="auto" w:fill="auto"/>
        </w:rPr>
        <w:t xml:space="preserve">                                           </w:t>
      </w:r>
    </w:p>
    <w:p w14:paraId="3B366F46">
      <w:pPr>
        <w:pStyle w:val="212"/>
        <w:spacing w:beforeAutospacing="0" w:afterAutospacing="0" w:line="360" w:lineRule="auto"/>
        <w:jc w:val="both"/>
        <w:rPr>
          <w:color w:val="000000"/>
          <w:highlight w:val="none"/>
          <w:shd w:val="clear" w:color="auto" w:fill="auto"/>
        </w:rPr>
      </w:pPr>
      <w:r>
        <w:rPr>
          <w:rFonts w:hint="eastAsia"/>
          <w:color w:val="000000"/>
          <w:highlight w:val="none"/>
          <w:shd w:val="clear" w:color="auto" w:fill="auto"/>
        </w:rPr>
        <w:t>授权代表：</w:t>
      </w:r>
      <w:r>
        <w:rPr>
          <w:rFonts w:hint="eastAsia"/>
          <w:color w:val="000000"/>
          <w:highlight w:val="none"/>
          <w:u w:val="single"/>
          <w:shd w:val="clear" w:color="auto" w:fill="auto"/>
        </w:rPr>
        <w:t>                 </w:t>
      </w:r>
      <w:r>
        <w:rPr>
          <w:rFonts w:hint="eastAsia"/>
          <w:color w:val="000000"/>
          <w:highlight w:val="none"/>
          <w:u w:val="single"/>
          <w:shd w:val="clear" w:color="auto" w:fill="auto"/>
        </w:rPr>
        <w:tab/>
      </w:r>
      <w:r>
        <w:rPr>
          <w:rFonts w:hint="eastAsia"/>
          <w:color w:val="000000"/>
          <w:highlight w:val="none"/>
          <w:u w:val="single"/>
          <w:shd w:val="clear" w:color="auto" w:fill="auto"/>
        </w:rPr>
        <w:tab/>
      </w:r>
      <w:r>
        <w:rPr>
          <w:rFonts w:hint="eastAsia"/>
          <w:color w:val="000000"/>
          <w:highlight w:val="none"/>
          <w:u w:val="single"/>
          <w:shd w:val="clear" w:color="auto" w:fill="auto"/>
        </w:rPr>
        <w:tab/>
      </w:r>
      <w:r>
        <w:rPr>
          <w:rFonts w:hint="eastAsia"/>
          <w:color w:val="000000"/>
          <w:highlight w:val="none"/>
          <w:u w:val="single"/>
          <w:shd w:val="clear" w:color="auto" w:fill="auto"/>
        </w:rPr>
        <w:tab/>
      </w:r>
      <w:r>
        <w:rPr>
          <w:rFonts w:hint="eastAsia"/>
          <w:color w:val="000000"/>
          <w:highlight w:val="none"/>
          <w:u w:val="single"/>
          <w:shd w:val="clear" w:color="auto" w:fill="auto"/>
        </w:rPr>
        <w:t xml:space="preserve">        </w:t>
      </w:r>
    </w:p>
    <w:p w14:paraId="6C437147">
      <w:pPr>
        <w:pStyle w:val="212"/>
        <w:spacing w:beforeAutospacing="0" w:afterAutospacing="0" w:line="360" w:lineRule="auto"/>
        <w:jc w:val="both"/>
        <w:rPr>
          <w:color w:val="000000"/>
          <w:highlight w:val="none"/>
          <w:shd w:val="clear" w:color="auto" w:fill="auto"/>
        </w:rPr>
      </w:pPr>
      <w:r>
        <w:rPr>
          <w:rFonts w:hint="eastAsia"/>
          <w:color w:val="000000"/>
          <w:highlight w:val="none"/>
          <w:shd w:val="clear" w:color="auto" w:fill="auto"/>
        </w:rPr>
        <w:t>联系电话：</w:t>
      </w:r>
      <w:r>
        <w:rPr>
          <w:rFonts w:hint="eastAsia"/>
          <w:color w:val="000000"/>
          <w:highlight w:val="none"/>
          <w:u w:val="single"/>
          <w:shd w:val="clear" w:color="auto" w:fill="auto"/>
        </w:rPr>
        <w:t>                  </w:t>
      </w:r>
      <w:r>
        <w:rPr>
          <w:rFonts w:hint="eastAsia"/>
          <w:color w:val="000000"/>
          <w:highlight w:val="none"/>
          <w:u w:val="single"/>
          <w:shd w:val="clear" w:color="auto" w:fill="auto"/>
        </w:rPr>
        <w:tab/>
      </w:r>
      <w:r>
        <w:rPr>
          <w:rFonts w:hint="eastAsia"/>
          <w:color w:val="000000"/>
          <w:highlight w:val="none"/>
          <w:u w:val="single"/>
          <w:shd w:val="clear" w:color="auto" w:fill="auto"/>
        </w:rPr>
        <w:tab/>
      </w:r>
      <w:r>
        <w:rPr>
          <w:rFonts w:hint="eastAsia"/>
          <w:color w:val="000000"/>
          <w:highlight w:val="none"/>
          <w:u w:val="single"/>
          <w:shd w:val="clear" w:color="auto" w:fill="auto"/>
        </w:rPr>
        <w:tab/>
      </w:r>
      <w:r>
        <w:rPr>
          <w:rFonts w:hint="eastAsia"/>
          <w:color w:val="000000"/>
          <w:highlight w:val="none"/>
          <w:u w:val="single"/>
          <w:shd w:val="clear" w:color="auto" w:fill="auto"/>
        </w:rPr>
        <w:tab/>
      </w:r>
      <w:r>
        <w:rPr>
          <w:rFonts w:hint="eastAsia"/>
          <w:color w:val="000000"/>
          <w:highlight w:val="none"/>
          <w:u w:val="single"/>
          <w:shd w:val="clear" w:color="auto" w:fill="auto"/>
        </w:rPr>
        <w:t xml:space="preserve">     </w:t>
      </w:r>
    </w:p>
    <w:p w14:paraId="2A55D8B6">
      <w:pPr>
        <w:pStyle w:val="212"/>
        <w:spacing w:beforeAutospacing="0" w:afterAutospacing="0" w:line="360" w:lineRule="auto"/>
        <w:jc w:val="both"/>
        <w:rPr>
          <w:color w:val="000000"/>
          <w:highlight w:val="none"/>
          <w:u w:val="single"/>
          <w:shd w:val="clear" w:color="auto" w:fill="auto"/>
        </w:rPr>
      </w:pPr>
      <w:r>
        <w:rPr>
          <w:rFonts w:hint="eastAsia"/>
          <w:color w:val="000000"/>
          <w:highlight w:val="none"/>
          <w:shd w:val="clear" w:color="auto" w:fill="auto"/>
        </w:rPr>
        <w:t>地址： </w:t>
      </w:r>
      <w:r>
        <w:rPr>
          <w:rFonts w:hint="eastAsia"/>
          <w:color w:val="000000"/>
          <w:highlight w:val="none"/>
          <w:u w:val="single"/>
          <w:shd w:val="clear" w:color="auto" w:fill="auto"/>
        </w:rPr>
        <w:t>                  </w:t>
      </w:r>
      <w:r>
        <w:rPr>
          <w:rFonts w:hint="eastAsia"/>
          <w:color w:val="000000"/>
          <w:highlight w:val="none"/>
          <w:u w:val="single"/>
          <w:shd w:val="clear" w:color="auto" w:fill="auto"/>
        </w:rPr>
        <w:tab/>
      </w:r>
      <w:r>
        <w:rPr>
          <w:rFonts w:hint="eastAsia"/>
          <w:color w:val="000000"/>
          <w:highlight w:val="none"/>
          <w:u w:val="single"/>
          <w:shd w:val="clear" w:color="auto" w:fill="auto"/>
        </w:rPr>
        <w:tab/>
      </w:r>
      <w:r>
        <w:rPr>
          <w:rFonts w:hint="eastAsia"/>
          <w:color w:val="000000"/>
          <w:highlight w:val="none"/>
          <w:u w:val="single"/>
          <w:shd w:val="clear" w:color="auto" w:fill="auto"/>
        </w:rPr>
        <w:tab/>
      </w:r>
      <w:r>
        <w:rPr>
          <w:rFonts w:hint="eastAsia"/>
          <w:color w:val="000000"/>
          <w:highlight w:val="none"/>
          <w:u w:val="single"/>
          <w:shd w:val="clear" w:color="auto" w:fill="auto"/>
        </w:rPr>
        <w:tab/>
      </w:r>
      <w:r>
        <w:rPr>
          <w:rFonts w:hint="eastAsia"/>
          <w:color w:val="000000"/>
          <w:highlight w:val="none"/>
          <w:u w:val="single"/>
          <w:shd w:val="clear" w:color="auto" w:fill="auto"/>
        </w:rPr>
        <w:t xml:space="preserve">        </w:t>
      </w:r>
    </w:p>
    <w:p w14:paraId="26C70833">
      <w:pPr>
        <w:pStyle w:val="212"/>
        <w:spacing w:beforeAutospacing="0" w:afterAutospacing="0" w:line="360" w:lineRule="auto"/>
        <w:jc w:val="both"/>
        <w:rPr>
          <w:color w:val="000000"/>
          <w:highlight w:val="none"/>
          <w:shd w:val="clear" w:color="auto" w:fill="auto"/>
        </w:rPr>
      </w:pPr>
      <w:r>
        <w:rPr>
          <w:rFonts w:hint="eastAsia"/>
          <w:color w:val="000000"/>
          <w:highlight w:val="none"/>
          <w:shd w:val="clear" w:color="auto" w:fill="auto"/>
        </w:rPr>
        <w:t>邮编：</w:t>
      </w:r>
      <w:r>
        <w:rPr>
          <w:rFonts w:hint="eastAsia"/>
          <w:color w:val="000000"/>
          <w:highlight w:val="none"/>
          <w:u w:val="single"/>
          <w:shd w:val="clear" w:color="auto" w:fill="auto"/>
        </w:rPr>
        <w:t xml:space="preserve">                                </w:t>
      </w:r>
    </w:p>
    <w:p w14:paraId="5D61C424">
      <w:pPr>
        <w:pStyle w:val="212"/>
        <w:spacing w:beforeAutospacing="0" w:afterAutospacing="0" w:line="360" w:lineRule="auto"/>
        <w:jc w:val="both"/>
        <w:rPr>
          <w:color w:val="000000"/>
          <w:highlight w:val="none"/>
          <w:shd w:val="clear" w:color="auto" w:fill="auto"/>
        </w:rPr>
      </w:pPr>
      <w:r>
        <w:rPr>
          <w:rFonts w:hint="eastAsia"/>
          <w:color w:val="000000"/>
          <w:highlight w:val="none"/>
          <w:shd w:val="clear" w:color="auto" w:fill="auto"/>
        </w:rPr>
        <w:t>二、质疑项目基本情况</w:t>
      </w:r>
    </w:p>
    <w:p w14:paraId="7FCB497B">
      <w:pPr>
        <w:pStyle w:val="212"/>
        <w:spacing w:beforeAutospacing="0" w:afterAutospacing="0" w:line="360" w:lineRule="auto"/>
        <w:jc w:val="both"/>
        <w:rPr>
          <w:color w:val="000000"/>
          <w:highlight w:val="none"/>
          <w:shd w:val="clear" w:color="auto" w:fill="auto"/>
        </w:rPr>
      </w:pPr>
      <w:r>
        <w:rPr>
          <w:rFonts w:hint="eastAsia"/>
          <w:color w:val="000000"/>
          <w:highlight w:val="none"/>
          <w:shd w:val="clear" w:color="auto" w:fill="auto"/>
        </w:rPr>
        <w:t>质疑项目的名称：</w:t>
      </w:r>
      <w:r>
        <w:rPr>
          <w:rFonts w:hint="eastAsia"/>
          <w:color w:val="000000"/>
          <w:highlight w:val="none"/>
          <w:u w:val="single"/>
          <w:shd w:val="clear" w:color="auto" w:fill="auto"/>
        </w:rPr>
        <w:t xml:space="preserve">                            </w:t>
      </w:r>
    </w:p>
    <w:p w14:paraId="27131B68">
      <w:pPr>
        <w:pStyle w:val="212"/>
        <w:spacing w:beforeAutospacing="0" w:afterAutospacing="0" w:line="360" w:lineRule="auto"/>
        <w:jc w:val="both"/>
        <w:rPr>
          <w:color w:val="000000"/>
          <w:highlight w:val="none"/>
          <w:u w:val="single"/>
          <w:shd w:val="clear" w:color="auto" w:fill="auto"/>
        </w:rPr>
      </w:pPr>
      <w:r>
        <w:rPr>
          <w:rFonts w:hint="eastAsia"/>
          <w:color w:val="000000"/>
          <w:highlight w:val="none"/>
          <w:shd w:val="clear" w:color="auto" w:fill="auto"/>
        </w:rPr>
        <w:t>质疑项目的编号：</w:t>
      </w:r>
      <w:r>
        <w:rPr>
          <w:rFonts w:hint="eastAsia"/>
          <w:color w:val="000000"/>
          <w:highlight w:val="none"/>
          <w:u w:val="single"/>
          <w:shd w:val="clear" w:color="auto" w:fill="auto"/>
        </w:rPr>
        <w:t xml:space="preserve">                          </w:t>
      </w:r>
    </w:p>
    <w:p w14:paraId="1B5917DD">
      <w:pPr>
        <w:pStyle w:val="212"/>
        <w:spacing w:beforeAutospacing="0" w:afterAutospacing="0" w:line="360" w:lineRule="auto"/>
        <w:jc w:val="both"/>
        <w:rPr>
          <w:color w:val="000000"/>
          <w:highlight w:val="none"/>
          <w:shd w:val="clear" w:color="auto" w:fill="auto"/>
        </w:rPr>
      </w:pPr>
      <w:r>
        <w:rPr>
          <w:rFonts w:hint="eastAsia"/>
          <w:color w:val="000000"/>
          <w:highlight w:val="none"/>
          <w:shd w:val="clear" w:color="auto" w:fill="auto"/>
        </w:rPr>
        <w:t>包号：</w:t>
      </w:r>
      <w:r>
        <w:rPr>
          <w:rFonts w:hint="eastAsia"/>
          <w:color w:val="000000"/>
          <w:highlight w:val="none"/>
          <w:u w:val="single"/>
          <w:shd w:val="clear" w:color="auto" w:fill="auto"/>
        </w:rPr>
        <w:t xml:space="preserve">                       </w:t>
      </w:r>
      <w:r>
        <w:rPr>
          <w:rFonts w:hint="eastAsia"/>
          <w:color w:val="000000"/>
          <w:highlight w:val="none"/>
          <w:u w:val="single"/>
          <w:shd w:val="clear" w:color="auto" w:fill="auto"/>
        </w:rPr>
        <w:tab/>
      </w:r>
      <w:r>
        <w:rPr>
          <w:rFonts w:hint="eastAsia"/>
          <w:color w:val="000000"/>
          <w:highlight w:val="none"/>
          <w:u w:val="single"/>
          <w:shd w:val="clear" w:color="auto" w:fill="auto"/>
        </w:rPr>
        <w:tab/>
      </w:r>
      <w:r>
        <w:rPr>
          <w:rFonts w:hint="eastAsia"/>
          <w:color w:val="000000"/>
          <w:highlight w:val="none"/>
          <w:u w:val="single"/>
          <w:shd w:val="clear" w:color="auto" w:fill="auto"/>
        </w:rPr>
        <w:tab/>
      </w:r>
      <w:r>
        <w:rPr>
          <w:rFonts w:hint="eastAsia"/>
          <w:color w:val="000000"/>
          <w:highlight w:val="none"/>
          <w:u w:val="single"/>
          <w:shd w:val="clear" w:color="auto" w:fill="auto"/>
        </w:rPr>
        <w:t xml:space="preserve">    </w:t>
      </w:r>
    </w:p>
    <w:p w14:paraId="490FD4DA">
      <w:pPr>
        <w:pStyle w:val="212"/>
        <w:spacing w:beforeAutospacing="0" w:afterAutospacing="0" w:line="360" w:lineRule="auto"/>
        <w:jc w:val="both"/>
        <w:rPr>
          <w:color w:val="000000"/>
          <w:highlight w:val="none"/>
          <w:shd w:val="clear" w:color="auto" w:fill="auto"/>
        </w:rPr>
      </w:pPr>
      <w:r>
        <w:rPr>
          <w:rFonts w:hint="eastAsia"/>
          <w:color w:val="000000"/>
          <w:highlight w:val="none"/>
          <w:shd w:val="clear" w:color="auto" w:fill="auto"/>
        </w:rPr>
        <w:t>采购人名称：</w:t>
      </w:r>
      <w:r>
        <w:rPr>
          <w:rFonts w:hint="eastAsia"/>
          <w:color w:val="000000"/>
          <w:highlight w:val="none"/>
          <w:u w:val="single"/>
          <w:shd w:val="clear" w:color="auto" w:fill="auto"/>
        </w:rPr>
        <w:t xml:space="preserve">                            </w:t>
      </w:r>
    </w:p>
    <w:p w14:paraId="4E88BF09">
      <w:pPr>
        <w:pStyle w:val="212"/>
        <w:spacing w:beforeAutospacing="0" w:afterAutospacing="0" w:line="360" w:lineRule="auto"/>
        <w:jc w:val="both"/>
        <w:rPr>
          <w:color w:val="000000"/>
          <w:highlight w:val="none"/>
          <w:shd w:val="clear" w:color="auto" w:fill="auto"/>
        </w:rPr>
      </w:pPr>
      <w:r>
        <w:rPr>
          <w:rFonts w:hint="eastAsia" w:ascii="仿宋" w:hAnsi="仿宋" w:eastAsia="仿宋" w:cs="仿宋"/>
          <w:i w:val="0"/>
          <w:iCs w:val="0"/>
          <w:caps w:val="0"/>
          <w:color w:val="333333"/>
          <w:spacing w:val="0"/>
          <w:sz w:val="28"/>
          <w:szCs w:val="28"/>
          <w:highlight w:val="none"/>
          <w:shd w:val="clear" w:color="auto" w:fill="FFFFFF"/>
          <w:lang w:val="en-US" w:eastAsia="zh-CN"/>
        </w:rPr>
        <w:t>询价</w:t>
      </w:r>
      <w:r>
        <w:rPr>
          <w:rFonts w:hint="eastAsia"/>
          <w:color w:val="000000"/>
          <w:highlight w:val="none"/>
          <w:shd w:val="clear" w:color="auto" w:fill="auto"/>
        </w:rPr>
        <w:t>文件获取日期：</w:t>
      </w:r>
      <w:r>
        <w:rPr>
          <w:rFonts w:hint="eastAsia"/>
          <w:color w:val="000000"/>
          <w:highlight w:val="none"/>
          <w:u w:val="single"/>
          <w:shd w:val="clear" w:color="auto" w:fill="auto"/>
        </w:rPr>
        <w:t xml:space="preserve">                             </w:t>
      </w:r>
    </w:p>
    <w:p w14:paraId="0524B555">
      <w:pPr>
        <w:pStyle w:val="212"/>
        <w:spacing w:beforeAutospacing="0" w:afterAutospacing="0" w:line="360" w:lineRule="auto"/>
        <w:jc w:val="both"/>
        <w:rPr>
          <w:color w:val="000000"/>
          <w:highlight w:val="none"/>
          <w:shd w:val="clear" w:color="auto" w:fill="auto"/>
        </w:rPr>
      </w:pPr>
      <w:r>
        <w:rPr>
          <w:rFonts w:hint="eastAsia"/>
          <w:color w:val="000000"/>
          <w:highlight w:val="none"/>
          <w:shd w:val="clear" w:color="auto" w:fill="auto"/>
        </w:rPr>
        <w:t>三、质疑事项具体内容</w:t>
      </w:r>
    </w:p>
    <w:p w14:paraId="44D3CA28">
      <w:pPr>
        <w:pStyle w:val="212"/>
        <w:spacing w:beforeAutospacing="0" w:afterAutospacing="0" w:line="360" w:lineRule="auto"/>
        <w:jc w:val="both"/>
        <w:rPr>
          <w:color w:val="000000"/>
          <w:highlight w:val="none"/>
          <w:shd w:val="clear" w:color="auto" w:fill="auto"/>
        </w:rPr>
      </w:pPr>
      <w:r>
        <w:rPr>
          <w:rFonts w:hint="eastAsia"/>
          <w:color w:val="000000"/>
          <w:highlight w:val="none"/>
          <w:shd w:val="clear" w:color="auto" w:fill="auto"/>
        </w:rPr>
        <w:t>质疑事项1：</w:t>
      </w:r>
      <w:r>
        <w:rPr>
          <w:rFonts w:hint="eastAsia"/>
          <w:color w:val="000000"/>
          <w:highlight w:val="none"/>
          <w:u w:val="single"/>
          <w:shd w:val="clear" w:color="auto" w:fill="auto"/>
        </w:rPr>
        <w:t xml:space="preserve">                             </w:t>
      </w:r>
    </w:p>
    <w:p w14:paraId="09B7A11C">
      <w:pPr>
        <w:pStyle w:val="212"/>
        <w:spacing w:beforeAutospacing="0" w:afterAutospacing="0" w:line="360" w:lineRule="auto"/>
        <w:rPr>
          <w:color w:val="000000"/>
          <w:highlight w:val="none"/>
          <w:shd w:val="clear" w:color="auto" w:fill="auto"/>
        </w:rPr>
      </w:pPr>
      <w:r>
        <w:rPr>
          <w:rFonts w:hint="eastAsia"/>
          <w:color w:val="000000"/>
          <w:highlight w:val="none"/>
          <w:shd w:val="clear" w:color="auto" w:fill="auto"/>
        </w:rPr>
        <w:t>事实依据：</w:t>
      </w:r>
      <w:r>
        <w:rPr>
          <w:rFonts w:hint="eastAsia"/>
          <w:color w:val="000000"/>
          <w:highlight w:val="none"/>
          <w:u w:val="single"/>
          <w:shd w:val="clear" w:color="auto" w:fill="auto"/>
        </w:rPr>
        <w:t xml:space="preserve">                                                   </w:t>
      </w:r>
    </w:p>
    <w:p w14:paraId="075735D1">
      <w:pPr>
        <w:pStyle w:val="212"/>
        <w:spacing w:beforeAutospacing="0" w:afterAutospacing="0" w:line="360" w:lineRule="auto"/>
        <w:jc w:val="both"/>
        <w:rPr>
          <w:color w:val="000000"/>
          <w:highlight w:val="none"/>
          <w:shd w:val="clear" w:color="auto" w:fill="auto"/>
        </w:rPr>
      </w:pPr>
      <w:r>
        <w:rPr>
          <w:rFonts w:hint="eastAsia"/>
          <w:color w:val="000000"/>
          <w:highlight w:val="none"/>
          <w:shd w:val="clear" w:color="auto" w:fill="auto"/>
        </w:rPr>
        <w:t>法律依据：</w:t>
      </w:r>
      <w:r>
        <w:rPr>
          <w:rFonts w:hint="eastAsia"/>
          <w:color w:val="000000"/>
          <w:highlight w:val="none"/>
          <w:u w:val="single"/>
          <w:shd w:val="clear" w:color="auto" w:fill="auto"/>
        </w:rPr>
        <w:t xml:space="preserve">                                                    </w:t>
      </w:r>
    </w:p>
    <w:p w14:paraId="2E92A2FB">
      <w:pPr>
        <w:pStyle w:val="212"/>
        <w:spacing w:beforeAutospacing="0" w:afterAutospacing="0" w:line="360" w:lineRule="auto"/>
        <w:jc w:val="both"/>
        <w:rPr>
          <w:color w:val="000000"/>
          <w:highlight w:val="none"/>
          <w:shd w:val="clear" w:color="auto" w:fill="auto"/>
        </w:rPr>
      </w:pPr>
      <w:r>
        <w:rPr>
          <w:rFonts w:hint="eastAsia"/>
          <w:color w:val="000000"/>
          <w:highlight w:val="none"/>
          <w:shd w:val="clear" w:color="auto" w:fill="auto"/>
        </w:rPr>
        <w:t>质疑事项2</w:t>
      </w:r>
    </w:p>
    <w:p w14:paraId="1AD8FEFE">
      <w:pPr>
        <w:pStyle w:val="212"/>
        <w:spacing w:beforeAutospacing="0" w:afterAutospacing="0" w:line="360" w:lineRule="auto"/>
        <w:jc w:val="both"/>
        <w:rPr>
          <w:color w:val="000000"/>
          <w:highlight w:val="none"/>
          <w:shd w:val="clear" w:color="auto" w:fill="auto"/>
        </w:rPr>
      </w:pPr>
      <w:r>
        <w:rPr>
          <w:rFonts w:hint="eastAsia"/>
          <w:color w:val="000000"/>
          <w:highlight w:val="none"/>
          <w:shd w:val="clear" w:color="auto" w:fill="auto"/>
        </w:rPr>
        <w:t>……</w:t>
      </w:r>
    </w:p>
    <w:p w14:paraId="4BD168ED">
      <w:pPr>
        <w:pStyle w:val="212"/>
        <w:spacing w:beforeAutospacing="0" w:afterAutospacing="0" w:line="360" w:lineRule="auto"/>
        <w:jc w:val="both"/>
        <w:rPr>
          <w:color w:val="000000"/>
          <w:highlight w:val="none"/>
          <w:shd w:val="clear" w:color="auto" w:fill="auto"/>
        </w:rPr>
      </w:pPr>
      <w:r>
        <w:rPr>
          <w:rFonts w:hint="eastAsia"/>
          <w:color w:val="000000"/>
          <w:highlight w:val="none"/>
          <w:shd w:val="clear" w:color="auto" w:fill="auto"/>
        </w:rPr>
        <w:t>四、与质疑事项相关的质疑请求</w:t>
      </w:r>
    </w:p>
    <w:p w14:paraId="3FBC31E3">
      <w:pPr>
        <w:pStyle w:val="212"/>
        <w:spacing w:beforeAutospacing="0" w:afterAutospacing="0" w:line="360" w:lineRule="auto"/>
        <w:jc w:val="both"/>
        <w:rPr>
          <w:color w:val="000000"/>
          <w:highlight w:val="none"/>
          <w:shd w:val="clear" w:color="auto" w:fill="auto"/>
        </w:rPr>
      </w:pPr>
      <w:r>
        <w:rPr>
          <w:rFonts w:hint="eastAsia"/>
          <w:color w:val="000000"/>
          <w:highlight w:val="none"/>
          <w:shd w:val="clear" w:color="auto" w:fill="auto"/>
        </w:rPr>
        <w:t>请求：</w:t>
      </w:r>
      <w:r>
        <w:rPr>
          <w:rFonts w:hint="eastAsia"/>
          <w:color w:val="000000"/>
          <w:highlight w:val="none"/>
          <w:u w:val="single"/>
          <w:shd w:val="clear" w:color="auto" w:fill="auto"/>
        </w:rPr>
        <w:t xml:space="preserve">                                                          </w:t>
      </w:r>
    </w:p>
    <w:p w14:paraId="64DC6FFA">
      <w:pPr>
        <w:pStyle w:val="212"/>
        <w:spacing w:beforeAutospacing="0" w:afterAutospacing="0"/>
        <w:jc w:val="both"/>
        <w:rPr>
          <w:color w:val="000000"/>
          <w:highlight w:val="none"/>
          <w:shd w:val="clear" w:color="auto" w:fill="auto"/>
        </w:rPr>
      </w:pPr>
      <w:r>
        <w:rPr>
          <w:rFonts w:hint="eastAsia"/>
          <w:color w:val="000000"/>
          <w:highlight w:val="none"/>
          <w:shd w:val="clear" w:color="auto" w:fill="auto"/>
        </w:rPr>
        <w:t xml:space="preserve">签字(签章)：                 公章：               日期：    </w:t>
      </w:r>
    </w:p>
    <w:p w14:paraId="279B06EF">
      <w:pPr>
        <w:pStyle w:val="212"/>
        <w:spacing w:beforeAutospacing="0" w:afterAutospacing="0" w:line="0" w:lineRule="atLeast"/>
        <w:jc w:val="both"/>
        <w:rPr>
          <w:color w:val="000000"/>
          <w:highlight w:val="none"/>
          <w:shd w:val="clear" w:color="auto" w:fill="auto"/>
        </w:rPr>
      </w:pPr>
      <w:r>
        <w:rPr>
          <w:rFonts w:hint="eastAsia"/>
          <w:b/>
          <w:color w:val="000000"/>
          <w:highlight w:val="none"/>
          <w:shd w:val="clear" w:color="auto" w:fill="auto"/>
        </w:rPr>
        <w:t>质疑函制作说明：</w:t>
      </w:r>
    </w:p>
    <w:p w14:paraId="4DF0A598">
      <w:pPr>
        <w:pStyle w:val="212"/>
        <w:spacing w:beforeAutospacing="0" w:afterAutospacing="0" w:line="0" w:lineRule="atLeast"/>
        <w:ind w:firstLine="480"/>
        <w:rPr>
          <w:color w:val="000000"/>
          <w:highlight w:val="none"/>
          <w:shd w:val="clear" w:color="auto" w:fill="auto"/>
        </w:rPr>
      </w:pPr>
      <w:r>
        <w:rPr>
          <w:rFonts w:hint="eastAsia"/>
          <w:color w:val="000000"/>
          <w:highlight w:val="none"/>
          <w:shd w:val="clear" w:color="auto" w:fill="auto"/>
        </w:rPr>
        <w:t>1.供应商提出质疑时，应提交质疑函和必要的证明材料。</w:t>
      </w:r>
    </w:p>
    <w:p w14:paraId="5B8E9F1F">
      <w:pPr>
        <w:pStyle w:val="212"/>
        <w:spacing w:beforeAutospacing="0" w:afterAutospacing="0" w:line="0" w:lineRule="atLeast"/>
        <w:ind w:firstLine="480"/>
        <w:rPr>
          <w:color w:val="000000"/>
          <w:highlight w:val="none"/>
          <w:shd w:val="clear" w:color="auto" w:fill="auto"/>
        </w:rPr>
      </w:pPr>
      <w:r>
        <w:rPr>
          <w:rFonts w:hint="eastAsia"/>
          <w:color w:val="000000"/>
          <w:highlight w:val="none"/>
          <w:shd w:val="clear" w:color="auto" w:fill="auto"/>
        </w:rPr>
        <w:t>2.质疑供应商若委托代理人进行质疑的，质疑函应按要求列明“授权代表”的有关内容，并在附件中提交由质疑供应商签署的授权委托书。授权委托书应载明代理人的姓名或者名称、代理事项、具体权限、期限和相关事项。</w:t>
      </w:r>
    </w:p>
    <w:p w14:paraId="0955F951">
      <w:pPr>
        <w:pStyle w:val="212"/>
        <w:spacing w:beforeAutospacing="0" w:afterAutospacing="0" w:line="0" w:lineRule="atLeast"/>
        <w:ind w:firstLine="480"/>
        <w:rPr>
          <w:color w:val="000000"/>
          <w:highlight w:val="none"/>
          <w:shd w:val="clear" w:color="auto" w:fill="auto"/>
        </w:rPr>
      </w:pPr>
      <w:r>
        <w:rPr>
          <w:rFonts w:hint="eastAsia"/>
          <w:color w:val="000000"/>
          <w:highlight w:val="none"/>
          <w:shd w:val="clear" w:color="auto" w:fill="auto"/>
        </w:rPr>
        <w:t>3.质疑供应商若对项目的某一分包进行质疑，质疑函中应列明具体分包号。</w:t>
      </w:r>
    </w:p>
    <w:p w14:paraId="0CF490CD">
      <w:pPr>
        <w:pStyle w:val="212"/>
        <w:spacing w:beforeAutospacing="0" w:afterAutospacing="0" w:line="0" w:lineRule="atLeast"/>
        <w:ind w:firstLine="480"/>
        <w:rPr>
          <w:color w:val="000000"/>
          <w:highlight w:val="none"/>
          <w:shd w:val="clear" w:color="auto" w:fill="auto"/>
        </w:rPr>
      </w:pPr>
      <w:r>
        <w:rPr>
          <w:rFonts w:hint="eastAsia"/>
          <w:color w:val="000000"/>
          <w:highlight w:val="none"/>
          <w:shd w:val="clear" w:color="auto" w:fill="auto"/>
        </w:rPr>
        <w:t>4.质疑函的质疑事项应具体、明确，并有必要的事实依据和法律依据。</w:t>
      </w:r>
    </w:p>
    <w:p w14:paraId="79A4B659">
      <w:pPr>
        <w:pStyle w:val="212"/>
        <w:spacing w:beforeAutospacing="0" w:afterAutospacing="0" w:line="0" w:lineRule="atLeast"/>
        <w:ind w:firstLine="480"/>
        <w:rPr>
          <w:color w:val="000000"/>
          <w:highlight w:val="none"/>
          <w:shd w:val="clear" w:color="auto" w:fill="auto"/>
        </w:rPr>
      </w:pPr>
      <w:r>
        <w:rPr>
          <w:rFonts w:hint="eastAsia"/>
          <w:color w:val="000000"/>
          <w:highlight w:val="none"/>
          <w:shd w:val="clear" w:color="auto" w:fill="auto"/>
        </w:rPr>
        <w:t>5.质疑函的质疑请求应与质疑事项相关。</w:t>
      </w:r>
    </w:p>
    <w:p w14:paraId="17F12089">
      <w:pPr>
        <w:pStyle w:val="212"/>
        <w:spacing w:beforeAutospacing="0" w:afterAutospacing="0" w:line="0" w:lineRule="atLeast"/>
        <w:ind w:firstLine="480"/>
        <w:rPr>
          <w:color w:val="000000"/>
          <w:highlight w:val="none"/>
          <w:shd w:val="clear" w:color="auto" w:fill="auto"/>
        </w:rPr>
      </w:pPr>
      <w:r>
        <w:rPr>
          <w:rFonts w:hint="eastAsia"/>
          <w:color w:val="000000"/>
          <w:highlight w:val="none"/>
          <w:shd w:val="clear" w:color="auto" w:fill="auto"/>
        </w:rPr>
        <w:t>6.质疑供应商为自然人的，质疑函应由本人签字；质疑供应商为法人或者其他组织的，质疑函应由法定代表人、主要负责人，或者其授权代表签字或者盖章，并加盖公章。</w:t>
      </w:r>
    </w:p>
    <w:p w14:paraId="15927537">
      <w:pPr>
        <w:pStyle w:val="212"/>
        <w:spacing w:beforeAutospacing="0" w:afterAutospacing="0"/>
        <w:ind w:firstLine="420"/>
        <w:jc w:val="both"/>
        <w:rPr>
          <w:color w:val="000000"/>
          <w:highlight w:val="none"/>
          <w:shd w:val="clear" w:color="auto" w:fill="auto"/>
        </w:rPr>
      </w:pPr>
      <w:r>
        <w:rPr>
          <w:rFonts w:hint="eastAsia"/>
          <w:color w:val="000000"/>
          <w:highlight w:val="none"/>
          <w:shd w:val="clear" w:color="auto" w:fill="auto"/>
        </w:rPr>
        <w:t> </w:t>
      </w:r>
    </w:p>
    <w:p w14:paraId="109C2673">
      <w:pPr>
        <w:rPr>
          <w:color w:val="000000"/>
          <w:highlight w:val="none"/>
          <w:shd w:val="clear" w:color="auto" w:fill="auto"/>
        </w:rPr>
      </w:pPr>
    </w:p>
    <w:p w14:paraId="624C85EF">
      <w:pPr>
        <w:pStyle w:val="212"/>
        <w:widowControl w:val="0"/>
        <w:spacing w:before="0" w:beforeAutospacing="0" w:after="0" w:afterAutospacing="0"/>
        <w:jc w:val="center"/>
        <w:rPr>
          <w:color w:val="000000"/>
          <w:highlight w:val="none"/>
          <w:shd w:val="clear" w:color="auto" w:fill="auto"/>
        </w:rPr>
      </w:pPr>
      <w:r>
        <w:rPr>
          <w:color w:val="000000"/>
          <w:highlight w:val="none"/>
          <w:shd w:val="clear" w:color="auto" w:fill="auto"/>
        </w:rPr>
        <w:t> </w:t>
      </w:r>
    </w:p>
    <w:p w14:paraId="5DE56AB7">
      <w:pPr>
        <w:pStyle w:val="212"/>
        <w:widowControl w:val="0"/>
        <w:spacing w:before="0" w:beforeAutospacing="0" w:after="0" w:afterAutospacing="0"/>
        <w:ind w:firstLine="420"/>
        <w:jc w:val="both"/>
        <w:rPr>
          <w:color w:val="000000"/>
          <w:highlight w:val="none"/>
          <w:shd w:val="clear" w:color="auto" w:fill="auto"/>
        </w:rPr>
      </w:pPr>
      <w:r>
        <w:rPr>
          <w:color w:val="000000"/>
          <w:highlight w:val="none"/>
          <w:shd w:val="clear" w:color="auto" w:fill="auto"/>
        </w:rPr>
        <w:t> </w:t>
      </w:r>
    </w:p>
    <w:bookmarkEnd w:id="146"/>
    <w:bookmarkEnd w:id="147"/>
    <w:bookmarkEnd w:id="148"/>
    <w:bookmarkEnd w:id="149"/>
    <w:bookmarkEnd w:id="150"/>
    <w:bookmarkEnd w:id="151"/>
    <w:bookmarkEnd w:id="152"/>
    <w:bookmarkEnd w:id="153"/>
    <w:bookmarkEnd w:id="162"/>
    <w:bookmarkEnd w:id="163"/>
    <w:bookmarkEnd w:id="164"/>
    <w:bookmarkEnd w:id="165"/>
    <w:bookmarkEnd w:id="166"/>
    <w:p w14:paraId="5F50E1C9">
      <w:pPr>
        <w:rPr>
          <w:highlight w:val="none"/>
        </w:rPr>
      </w:pPr>
    </w:p>
    <w:sectPr>
      <w:footerReference r:id="rId7" w:type="first"/>
      <w:headerReference r:id="rId4" w:type="default"/>
      <w:footerReference r:id="rId5" w:type="default"/>
      <w:footerReference r:id="rId6" w:type="even"/>
      <w:pgSz w:w="11907" w:h="16840"/>
      <w:pgMar w:top="1440" w:right="1230" w:bottom="1440" w:left="1230" w:header="720" w:footer="720" w:gutter="0"/>
      <w:pgNumType w:fmt="decimal"/>
      <w:cols w:space="1701"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Cambria">
    <w:panose1 w:val="02040503050406030204"/>
    <w:charset w:val="00"/>
    <w:family w:val="auto"/>
    <w:pitch w:val="default"/>
    <w:sig w:usb0="E00006FF" w:usb1="420024FF" w:usb2="02000000" w:usb3="00000000" w:csb0="2000019F" w:csb1="00000000"/>
  </w:font>
  <w:font w:name="楷体_GB2312">
    <w:altName w:val="楷体"/>
    <w:panose1 w:val="02010609060101010101"/>
    <w:charset w:val="00"/>
    <w:family w:val="auto"/>
    <w:pitch w:val="default"/>
    <w:sig w:usb0="00000000" w:usb1="00000000" w:usb2="00000000" w:usb3="00000000" w:csb0="00000000" w:csb1="00000000"/>
  </w:font>
  <w:font w:name="楷体">
    <w:panose1 w:val="02010609060101010101"/>
    <w:charset w:val="86"/>
    <w:family w:val="auto"/>
    <w:pitch w:val="default"/>
    <w:sig w:usb0="800002BF" w:usb1="38CF7CFA" w:usb2="00000016" w:usb3="00000000" w:csb0="00040001" w:csb1="00000000"/>
  </w:font>
  <w:font w:name="Tahoma">
    <w:panose1 w:val="020B0604030504040204"/>
    <w:charset w:val="00"/>
    <w:family w:val="auto"/>
    <w:pitch w:val="default"/>
    <w:sig w:usb0="E1002EFF" w:usb1="C000605B" w:usb2="00000029" w:usb3="00000000" w:csb0="200101FF" w:csb1="20280000"/>
  </w:font>
  <w:font w:name="Verdana">
    <w:panose1 w:val="020B0604030504040204"/>
    <w:charset w:val="00"/>
    <w:family w:val="auto"/>
    <w:pitch w:val="default"/>
    <w:sig w:usb0="A00006FF" w:usb1="4000205B" w:usb2="00000010" w:usb3="00000000" w:csb0="2000019F" w:csb1="00000000"/>
  </w:font>
  <w:font w:name="仿宋_GB2312">
    <w:altName w:val="仿宋"/>
    <w:panose1 w:val="02010609060101010101"/>
    <w:charset w:val="00"/>
    <w:family w:val="auto"/>
    <w:pitch w:val="default"/>
    <w:sig w:usb0="00000000" w:usb1="00000000" w:usb2="00000000" w:usb3="00000000" w:csb0="00000000" w:csb1="00000000"/>
  </w:font>
  <w:font w:name="仿宋">
    <w:panose1 w:val="02010609060101010101"/>
    <w:charset w:val="86"/>
    <w:family w:val="auto"/>
    <w:pitch w:val="default"/>
    <w:sig w:usb0="800002BF" w:usb1="38CF7CFA" w:usb2="00000016" w:usb3="00000000" w:csb0="00040001" w:csb1="00000000"/>
  </w:font>
  <w:font w:name="华文楷体">
    <w:panose1 w:val="02010600040101010101"/>
    <w:charset w:val="86"/>
    <w:family w:val="auto"/>
    <w:pitch w:val="default"/>
    <w:sig w:usb0="00000287" w:usb1="080F0000" w:usb2="00000000" w:usb3="00000000" w:csb0="0004009F" w:csb1="DFD70000"/>
  </w:font>
  <w:font w:name="华文中宋">
    <w:panose1 w:val="02010600040101010101"/>
    <w:charset w:val="86"/>
    <w:family w:val="auto"/>
    <w:pitch w:val="default"/>
    <w:sig w:usb0="00000287" w:usb1="080F0000" w:usb2="00000000" w:usb3="00000000" w:csb0="0004009F" w:csb1="DFD70000"/>
  </w:font>
  <w:font w:name="Arial">
    <w:panose1 w:val="020B0604020202020204"/>
    <w:charset w:val="00"/>
    <w:family w:val="auto"/>
    <w:pitch w:val="default"/>
    <w:sig w:usb0="E0002EFF" w:usb1="C000785B" w:usb2="00000009" w:usb3="00000000" w:csb0="400001FF" w:csb1="FFFF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927633C">
    <w:pPr>
      <w:pStyle w:val="19"/>
    </w:pPr>
    <w:r>
      <w:rPr>
        <w:sz w:val="21"/>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C92F15A">
                          <w:pPr>
                            <w:pStyle w:val="19"/>
                          </w:pPr>
                          <w:r>
                            <w:fldChar w:fldCharType="begin"/>
                          </w:r>
                          <w:r>
                            <w:instrText xml:space="preserve"> PAGE  \* MERGEFORMAT </w:instrText>
                          </w:r>
                          <w:r>
                            <w:fldChar w:fldCharType="separate"/>
                          </w:r>
                          <w:r>
                            <w:t>3</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SCRrQ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kgka0MQIAAGEEAAAOAAAAAAAAAAEAIAAAAB8BAABkcnMvZTJvRG9jLnhtbFBLBQYA&#10;AAAABgAGAFkBAADCBQAAAAA=&#10;">
              <v:fill on="f" focussize="0,0"/>
              <v:stroke on="f" weight="0.5pt"/>
              <v:imagedata o:title=""/>
              <o:lock v:ext="edit" aspectratio="f"/>
              <v:textbox inset="0mm,0mm,0mm,0mm" style="mso-fit-shape-to-text:t;">
                <w:txbxContent>
                  <w:p w14:paraId="6C92F15A">
                    <w:pPr>
                      <w:pStyle w:val="19"/>
                    </w:pPr>
                    <w:r>
                      <w:fldChar w:fldCharType="begin"/>
                    </w:r>
                    <w:r>
                      <w:instrText xml:space="preserve"> PAGE  \* MERGEFORMAT </w:instrText>
                    </w:r>
                    <w:r>
                      <w:fldChar w:fldCharType="separate"/>
                    </w:r>
                    <w:r>
                      <w:t>3</w:t>
                    </w:r>
                    <w:r>
                      <w:fldChar w:fldCharType="end"/>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FE423D0">
    <w:pPr>
      <w:pStyle w:val="208"/>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a:noFill/>
                      </a:ln>
                    </wps:spPr>
                    <wps:txbx>
                      <w:txbxContent>
                        <w:p w14:paraId="4FA1638F">
                          <w:pPr>
                            <w:pStyle w:val="208"/>
                            <w:tabs>
                              <w:tab w:val="clear" w:pos="4153"/>
                              <w:tab w:val="clear" w:pos="8306"/>
                            </w:tabs>
                          </w:pPr>
                          <w:r>
                            <w:fldChar w:fldCharType="begin"/>
                          </w:r>
                          <w:r>
                            <w:instrText xml:space="preserve"> PAGE  \* MERGEFORMAT </w:instrText>
                          </w:r>
                          <w:r>
                            <w:fldChar w:fldCharType="separate"/>
                          </w:r>
                          <w:r>
                            <w:t>1</w:t>
                          </w:r>
                          <w:r>
                            <w:fldChar w:fldCharType="end"/>
                          </w:r>
                        </w:p>
                        <w:p w14:paraId="4A57828F"/>
                      </w:txbxContent>
                    </wps:txbx>
                    <wps:bodyPr wrap="none" lIns="0" tIns="0" rIns="0" bIns="0" upright="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">
              <v:fill on="f" focussize="0,0"/>
              <v:stroke on="f"/>
              <v:imagedata o:title=""/>
              <o:lock v:ext="edit" aspectratio="f"/>
              <v:textbox inset="0mm,0mm,0mm,0mm" style="mso-fit-shape-to-text:t;">
                <w:txbxContent>
                  <w:p w14:paraId="4FA1638F">
                    <w:pPr>
                      <w:pStyle w:val="208"/>
                      <w:tabs>
                        <w:tab w:val="clear" w:pos="4153"/>
                        <w:tab w:val="clear" w:pos="8306"/>
                      </w:tabs>
                    </w:pPr>
                    <w:r>
                      <w:fldChar w:fldCharType="begin"/>
                    </w:r>
                    <w:r>
                      <w:instrText xml:space="preserve"> PAGE  \* MERGEFORMAT </w:instrText>
                    </w:r>
                    <w:r>
                      <w:fldChar w:fldCharType="separate"/>
                    </w:r>
                    <w:r>
                      <w:t>1</w:t>
                    </w:r>
                    <w:r>
                      <w:fldChar w:fldCharType="end"/>
                    </w:r>
                  </w:p>
                  <w:p w14:paraId="4A57828F"/>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B98B8E1">
    <w:pPr>
      <w:pStyle w:val="208"/>
      <w:jc w:val="center"/>
      <w:rPr>
        <w:rFonts w:hint="eastAsia"/>
        <w:sz w:val="24"/>
      </w:rPr>
    </w:pPr>
    <w:r>
      <w:rPr>
        <w:rFonts w:hint="eastAsia"/>
        <w:sz w:val="24"/>
      </w:rPr>
      <w:t>本询价函共6页，第</w:t>
    </w:r>
    <w:r>
      <w:rPr>
        <w:sz w:val="24"/>
      </w:rPr>
      <w:fldChar w:fldCharType="begin"/>
    </w:r>
    <w:r>
      <w:rPr>
        <w:rStyle w:val="215"/>
        <w:sz w:val="24"/>
      </w:rPr>
      <w:instrText xml:space="preserve"> PAGE </w:instrText>
    </w:r>
    <w:r>
      <w:rPr>
        <w:sz w:val="24"/>
      </w:rPr>
      <w:fldChar w:fldCharType="separate"/>
    </w:r>
    <w:r>
      <w:rPr>
        <w:rStyle w:val="215"/>
        <w:sz w:val="24"/>
      </w:rPr>
      <w:t>6</w:t>
    </w:r>
    <w:r>
      <w:rPr>
        <w:sz w:val="24"/>
      </w:rPr>
      <w:fldChar w:fldCharType="end"/>
    </w:r>
    <w:r>
      <w:rPr>
        <w:rFonts w:hint="eastAsia"/>
        <w:sz w:val="24"/>
      </w:rPr>
      <w:t>页</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77DFAB3">
    <w:pPr>
      <w:pStyle w:val="208"/>
      <w:tabs>
        <w:tab w:val="left" w:pos="2936"/>
      </w:tabs>
      <w:jc w:val="center"/>
      <w:rPr>
        <w:rFonts w:hint="eastAsia"/>
        <w:sz w:val="24"/>
      </w:rPr>
    </w:pPr>
    <w:r>
      <w:rPr>
        <w:rFonts w:hint="eastAsia"/>
        <w:sz w:val="24"/>
      </w:rPr>
      <w:t>本询价函共5页，第</w:t>
    </w:r>
    <w:r>
      <w:rPr>
        <w:sz w:val="24"/>
      </w:rPr>
      <w:fldChar w:fldCharType="begin"/>
    </w:r>
    <w:r>
      <w:rPr>
        <w:rStyle w:val="215"/>
        <w:sz w:val="24"/>
      </w:rPr>
      <w:instrText xml:space="preserve"> PAGE </w:instrText>
    </w:r>
    <w:r>
      <w:rPr>
        <w:sz w:val="24"/>
      </w:rPr>
      <w:fldChar w:fldCharType="separate"/>
    </w:r>
    <w:r>
      <w:rPr>
        <w:rStyle w:val="215"/>
        <w:sz w:val="24"/>
      </w:rPr>
      <w:t>1</w:t>
    </w:r>
    <w:r>
      <w:rPr>
        <w:sz w:val="24"/>
      </w:rPr>
      <w:fldChar w:fldCharType="end"/>
    </w:r>
    <w:r>
      <w:rPr>
        <w:rFonts w:hint="eastAsia"/>
        <w:sz w:val="24"/>
      </w:rPr>
      <w:t>页</w: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1CF6D9D">
    <w:pPr>
      <w:pStyle w:val="210"/>
      <w:pBdr>
        <w:bottom w:val="none" w:color="000000" w:sz="0" w:space="1"/>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78ACF93"/>
    <w:multiLevelType w:val="singleLevel"/>
    <w:tmpl w:val="878ACF93"/>
    <w:lvl w:ilvl="0" w:tentative="0">
      <w:start w:val="1"/>
      <w:numFmt w:val="decimal"/>
      <w:suff w:val="nothing"/>
      <w:lvlText w:val="%1、"/>
      <w:lvlJc w:val="left"/>
    </w:lvl>
  </w:abstractNum>
  <w:abstractNum w:abstractNumId="1">
    <w:nsid w:val="B4931100"/>
    <w:multiLevelType w:val="singleLevel"/>
    <w:tmpl w:val="B4931100"/>
    <w:lvl w:ilvl="0" w:tentative="0">
      <w:start w:val="1"/>
      <w:numFmt w:val="decimal"/>
      <w:suff w:val="nothing"/>
      <w:lvlText w:val="%1、"/>
      <w:lvlJc w:val="left"/>
    </w:lvl>
  </w:abstractNum>
  <w:abstractNum w:abstractNumId="2">
    <w:nsid w:val="B5E306ED"/>
    <w:multiLevelType w:val="multilevel"/>
    <w:tmpl w:val="B5E306ED"/>
    <w:lvl w:ilvl="0" w:tentative="0">
      <w:start w:val="2"/>
      <w:numFmt w:val="decimal"/>
      <w:suff w:val="space"/>
      <w:lvlText w:val="%1."/>
      <w:lvlJc w:val="left"/>
      <w:pPr>
        <w:ind w:left="0" w:firstLine="0"/>
      </w:p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3">
    <w:nsid w:val="BF205925"/>
    <w:multiLevelType w:val="multilevel"/>
    <w:tmpl w:val="BF205925"/>
    <w:lvl w:ilvl="0" w:tentative="0">
      <w:start w:val="1"/>
      <w:numFmt w:val="decimal"/>
      <w:suff w:val="nothing"/>
      <w:lvlText w:val="（%1）"/>
      <w:lvlJc w:val="left"/>
    </w:lvl>
    <w:lvl w:ilvl="1" w:tentative="0">
      <w:start w:val="1"/>
      <w:numFmt w:val="bullet"/>
      <w:lvlText w:val="o"/>
      <w:lvlJc w:val="left"/>
      <w:pPr>
        <w:ind w:left="1440" w:hanging="360"/>
      </w:pPr>
      <w:rPr>
        <w:rFonts w:ascii="Courier New" w:hAnsi="Courier New" w:eastAsia="Courier New" w:cs="Courier New"/>
      </w:rPr>
    </w:lvl>
    <w:lvl w:ilvl="2" w:tentative="0">
      <w:start w:val="1"/>
      <w:numFmt w:val="bullet"/>
      <w:lvlText w:val="§"/>
      <w:lvlJc w:val="left"/>
      <w:pPr>
        <w:ind w:left="2160" w:hanging="360"/>
      </w:pPr>
      <w:rPr>
        <w:rFonts w:ascii="Wingdings" w:hAnsi="Wingdings" w:eastAsia="Wingdings" w:cs="Wingdings"/>
      </w:rPr>
    </w:lvl>
    <w:lvl w:ilvl="3" w:tentative="0">
      <w:start w:val="1"/>
      <w:numFmt w:val="bullet"/>
      <w:lvlText w:val="·"/>
      <w:lvlJc w:val="left"/>
      <w:pPr>
        <w:ind w:left="2880" w:hanging="360"/>
      </w:pPr>
      <w:rPr>
        <w:rFonts w:ascii="Symbol" w:hAnsi="Symbol" w:eastAsia="Symbol" w:cs="Symbol"/>
      </w:rPr>
    </w:lvl>
    <w:lvl w:ilvl="4" w:tentative="0">
      <w:start w:val="1"/>
      <w:numFmt w:val="bullet"/>
      <w:lvlText w:val="o"/>
      <w:lvlJc w:val="left"/>
      <w:pPr>
        <w:ind w:left="3600" w:hanging="360"/>
      </w:pPr>
      <w:rPr>
        <w:rFonts w:ascii="Courier New" w:hAnsi="Courier New" w:eastAsia="Courier New" w:cs="Courier New"/>
      </w:rPr>
    </w:lvl>
    <w:lvl w:ilvl="5" w:tentative="0">
      <w:start w:val="1"/>
      <w:numFmt w:val="bullet"/>
      <w:lvlText w:val="§"/>
      <w:lvlJc w:val="left"/>
      <w:pPr>
        <w:ind w:left="4320" w:hanging="360"/>
      </w:pPr>
      <w:rPr>
        <w:rFonts w:ascii="Wingdings" w:hAnsi="Wingdings" w:eastAsia="Wingdings" w:cs="Wingdings"/>
      </w:rPr>
    </w:lvl>
    <w:lvl w:ilvl="6" w:tentative="0">
      <w:start w:val="1"/>
      <w:numFmt w:val="bullet"/>
      <w:lvlText w:val="·"/>
      <w:lvlJc w:val="left"/>
      <w:pPr>
        <w:ind w:left="5040" w:hanging="360"/>
      </w:pPr>
      <w:rPr>
        <w:rFonts w:ascii="Symbol" w:hAnsi="Symbol" w:eastAsia="Symbol" w:cs="Symbol"/>
      </w:rPr>
    </w:lvl>
    <w:lvl w:ilvl="7" w:tentative="0">
      <w:start w:val="1"/>
      <w:numFmt w:val="bullet"/>
      <w:lvlText w:val="o"/>
      <w:lvlJc w:val="left"/>
      <w:pPr>
        <w:ind w:left="5760" w:hanging="360"/>
      </w:pPr>
      <w:rPr>
        <w:rFonts w:ascii="Courier New" w:hAnsi="Courier New" w:eastAsia="Courier New" w:cs="Courier New"/>
      </w:rPr>
    </w:lvl>
    <w:lvl w:ilvl="8" w:tentative="0">
      <w:start w:val="1"/>
      <w:numFmt w:val="bullet"/>
      <w:lvlText w:val="§"/>
      <w:lvlJc w:val="left"/>
      <w:pPr>
        <w:ind w:left="6480" w:hanging="360"/>
      </w:pPr>
      <w:rPr>
        <w:rFonts w:ascii="Wingdings" w:hAnsi="Wingdings" w:eastAsia="Wingdings" w:cs="Wingdings"/>
      </w:rPr>
    </w:lvl>
  </w:abstractNum>
  <w:abstractNum w:abstractNumId="4">
    <w:nsid w:val="C8879AEF"/>
    <w:multiLevelType w:val="multilevel"/>
    <w:tmpl w:val="C8879AEF"/>
    <w:lvl w:ilvl="0" w:tentative="0">
      <w:start w:val="1"/>
      <w:numFmt w:val="decimal"/>
      <w:suff w:val="nothing"/>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5">
    <w:nsid w:val="CF092B84"/>
    <w:multiLevelType w:val="multilevel"/>
    <w:tmpl w:val="CF092B84"/>
    <w:lvl w:ilvl="0" w:tentative="0">
      <w:start w:val="1"/>
      <w:numFmt w:val="decimal"/>
      <w:suff w:val="nothing"/>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6">
    <w:nsid w:val="0248C179"/>
    <w:multiLevelType w:val="multilevel"/>
    <w:tmpl w:val="0248C179"/>
    <w:lvl w:ilvl="0" w:tentative="0">
      <w:start w:val="16"/>
      <w:numFmt w:val="decimal"/>
      <w:suff w:val="space"/>
      <w:lvlText w:val="%1."/>
      <w:lvlJc w:val="left"/>
      <w:pPr>
        <w:ind w:left="0" w:firstLine="0"/>
      </w:p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7">
    <w:nsid w:val="25B654F3"/>
    <w:multiLevelType w:val="multilevel"/>
    <w:tmpl w:val="25B654F3"/>
    <w:lvl w:ilvl="0" w:tentative="0">
      <w:start w:val="6"/>
      <w:numFmt w:val="decimal"/>
      <w:suff w:val="space"/>
      <w:lvlText w:val="%1."/>
      <w:lvlJc w:val="left"/>
      <w:pPr>
        <w:ind w:left="0" w:firstLine="0"/>
      </w:p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8">
    <w:nsid w:val="2A8F537B"/>
    <w:multiLevelType w:val="multilevel"/>
    <w:tmpl w:val="2A8F537B"/>
    <w:lvl w:ilvl="0" w:tentative="0">
      <w:start w:val="23"/>
      <w:numFmt w:val="decimal"/>
      <w:suff w:val="space"/>
      <w:lvlText w:val="%1."/>
      <w:lvlJc w:val="left"/>
      <w:pPr>
        <w:ind w:left="0" w:firstLine="0"/>
      </w:p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9">
    <w:nsid w:val="59ADCABA"/>
    <w:multiLevelType w:val="multilevel"/>
    <w:tmpl w:val="59ADCABA"/>
    <w:lvl w:ilvl="0" w:tentative="0">
      <w:start w:val="1"/>
      <w:numFmt w:val="decimal"/>
      <w:lvlText w:val="%1."/>
      <w:lvlJc w:val="left"/>
      <w:pPr>
        <w:tabs>
          <w:tab w:val="left" w:pos="312"/>
        </w:tabs>
      </w:p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num w:numId="1">
    <w:abstractNumId w:val="5"/>
  </w:num>
  <w:num w:numId="2">
    <w:abstractNumId w:val="9"/>
  </w:num>
  <w:num w:numId="3">
    <w:abstractNumId w:val="3"/>
  </w:num>
  <w:num w:numId="4">
    <w:abstractNumId w:val="2"/>
    <w:lvlOverride w:ilvl="0">
      <w:startOverride w:val="2"/>
    </w:lvlOverride>
  </w:num>
  <w:num w:numId="5">
    <w:abstractNumId w:val="7"/>
    <w:lvlOverride w:ilvl="0">
      <w:startOverride w:val="6"/>
    </w:lvlOverride>
  </w:num>
  <w:num w:numId="6">
    <w:abstractNumId w:val="6"/>
    <w:lvlOverride w:ilvl="0">
      <w:startOverride w:val="16"/>
    </w:lvlOverride>
  </w:num>
  <w:num w:numId="7">
    <w:abstractNumId w:val="8"/>
    <w:lvlOverride w:ilvl="0">
      <w:startOverride w:val="23"/>
    </w:lvlOverride>
  </w:num>
  <w:num w:numId="8">
    <w:abstractNumId w:val="4"/>
  </w:num>
  <w:num w:numId="9">
    <w:abstractNumId w:val="1"/>
  </w:num>
  <w:num w:numId="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40"/>
  <w:bordersDoNotSurroundHeader w:val="0"/>
  <w:bordersDoNotSurroundFooter w:val="0"/>
  <w:documentProtection w:enforcement="0"/>
  <w:defaultTabStop w:val="420"/>
  <w:displayHorizontalDrawingGridEvery w:val="1"/>
  <w:displayVerticalDrawingGridEvery w:val="1"/>
  <w:noPunctuationKerning w:val="1"/>
  <w:characterSpacingControl w:val="doNotCompress"/>
  <w:compat>
    <w:balanceSingleByteDoubleByteWidth/>
    <w:ulTrailSpace/>
    <w:doNotExpandShiftReturn/>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jc3Y2NhYWY1ZGVlNzUyYjNlNDFjZmNkMmY4M2QwMzAifQ=="/>
  </w:docVars>
  <w:rsids>
    <w:rsidRoot w:val="00000000"/>
    <w:rsid w:val="004D6899"/>
    <w:rsid w:val="00C156A5"/>
    <w:rsid w:val="02463B38"/>
    <w:rsid w:val="025839AB"/>
    <w:rsid w:val="068A5FF0"/>
    <w:rsid w:val="089C40D7"/>
    <w:rsid w:val="0A90209F"/>
    <w:rsid w:val="0B3F4E20"/>
    <w:rsid w:val="0B725406"/>
    <w:rsid w:val="0B925A10"/>
    <w:rsid w:val="0BD66EAA"/>
    <w:rsid w:val="0D4A4BDA"/>
    <w:rsid w:val="0DAC2403"/>
    <w:rsid w:val="0E9647FF"/>
    <w:rsid w:val="10155403"/>
    <w:rsid w:val="107E1B23"/>
    <w:rsid w:val="110864A9"/>
    <w:rsid w:val="12015736"/>
    <w:rsid w:val="13CB5FFB"/>
    <w:rsid w:val="13DF4CA5"/>
    <w:rsid w:val="16B46833"/>
    <w:rsid w:val="17C11251"/>
    <w:rsid w:val="18FD7E71"/>
    <w:rsid w:val="1A767810"/>
    <w:rsid w:val="1BEE39B8"/>
    <w:rsid w:val="1C7579C5"/>
    <w:rsid w:val="1CBB1BB0"/>
    <w:rsid w:val="1E206F43"/>
    <w:rsid w:val="1E2E7478"/>
    <w:rsid w:val="1E525B7D"/>
    <w:rsid w:val="1EA76270"/>
    <w:rsid w:val="1EF207B0"/>
    <w:rsid w:val="238157E8"/>
    <w:rsid w:val="28E93818"/>
    <w:rsid w:val="297D524A"/>
    <w:rsid w:val="2ACD3FAF"/>
    <w:rsid w:val="2B1A3F92"/>
    <w:rsid w:val="2BF612E4"/>
    <w:rsid w:val="2C621B48"/>
    <w:rsid w:val="2D624864"/>
    <w:rsid w:val="326574A8"/>
    <w:rsid w:val="365B2DB7"/>
    <w:rsid w:val="38F57829"/>
    <w:rsid w:val="3A192D6D"/>
    <w:rsid w:val="3ACA4067"/>
    <w:rsid w:val="3C55529B"/>
    <w:rsid w:val="3CAD3C40"/>
    <w:rsid w:val="3CEB3C9C"/>
    <w:rsid w:val="3E687626"/>
    <w:rsid w:val="40596C05"/>
    <w:rsid w:val="4125649B"/>
    <w:rsid w:val="41887F6E"/>
    <w:rsid w:val="42655249"/>
    <w:rsid w:val="42EA174A"/>
    <w:rsid w:val="450E5498"/>
    <w:rsid w:val="46837C13"/>
    <w:rsid w:val="4A0E3143"/>
    <w:rsid w:val="4B87722C"/>
    <w:rsid w:val="4E8F13F8"/>
    <w:rsid w:val="4F4A6DB1"/>
    <w:rsid w:val="538C7FAB"/>
    <w:rsid w:val="53A476F3"/>
    <w:rsid w:val="565133D1"/>
    <w:rsid w:val="59BA2C47"/>
    <w:rsid w:val="5CA40C9D"/>
    <w:rsid w:val="5D10516E"/>
    <w:rsid w:val="5E2A4C99"/>
    <w:rsid w:val="5EDF5A84"/>
    <w:rsid w:val="63BC6393"/>
    <w:rsid w:val="6A1F7763"/>
    <w:rsid w:val="6A6E2AA9"/>
    <w:rsid w:val="6AD11C05"/>
    <w:rsid w:val="6CD26C28"/>
    <w:rsid w:val="6E7A30D3"/>
    <w:rsid w:val="6E8C1058"/>
    <w:rsid w:val="708207E5"/>
    <w:rsid w:val="71883C00"/>
    <w:rsid w:val="75F55420"/>
    <w:rsid w:val="77E872FF"/>
    <w:rsid w:val="7BFD73CA"/>
    <w:rsid w:val="7C084414"/>
    <w:rsid w:val="7E200015"/>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semiHidden="0" w:name="heading 4"/>
    <w:lsdException w:qFormat="1" w:uiPriority="9" w:semiHidden="0" w:name="heading 5"/>
    <w:lsdException w:qFormat="1" w:uiPriority="9" w:semiHidden="0" w:name="heading 6"/>
    <w:lsdException w:qFormat="1" w:uiPriority="9" w:semiHidden="0" w:name="heading 7"/>
    <w:lsdException w:qFormat="1" w:uiPriority="9" w:semiHidden="0" w:name="heading 8"/>
    <w:lsdException w:qFormat="1" w:uiPriority="9"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uiPriority="99" w:name="Normal Indent"/>
    <w:lsdException w:qFormat="1"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qFormat="1" w:uiPriority="99" w:semiHidden="0" w:name="table of figures"/>
    <w:lsdException w:uiPriority="99" w:name="envelope address"/>
    <w:lsdException w:uiPriority="99" w:name="envelope return"/>
    <w:lsdException w:qFormat="1" w:uiPriority="99" w:semiHidden="0" w:name="footnote reference"/>
    <w:lsdException w:uiPriority="99" w:name="annotation reference"/>
    <w:lsdException w:uiPriority="99" w:name="line number"/>
    <w:lsdException w:qFormat="1" w:unhideWhenUsed="0" w:uiPriority="0" w:semiHidden="0" w:name="page number"/>
    <w:lsdException w:qFormat="1" w:uiPriority="99" w:name="endnote reference"/>
    <w:lsdException w:qFormat="1"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iPriority="0"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qFormat="1" w:unhideWhenUsed="0" w:uiPriority="0" w:semiHidden="0" w:name="Plain Text"/>
    <w:lsdException w:uiPriority="99" w:name="E-mail Signature"/>
    <w:lsdException w:qFormat="1" w:unhideWhenUsed="0"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5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link w:val="216"/>
    <w:autoRedefine/>
    <w:qFormat/>
    <w:uiPriority w:val="0"/>
    <w:pPr>
      <w:widowControl w:val="0"/>
      <w:jc w:val="both"/>
    </w:pPr>
    <w:rPr>
      <w:rFonts w:hint="default" w:ascii="Times New Roman" w:hAnsi="Times New Roman" w:eastAsia="宋体" w:cs="Times New Roman"/>
      <w:sz w:val="21"/>
      <w:szCs w:val="24"/>
      <w:lang w:val="en-US" w:eastAsia="zh-CN" w:bidi="ar-SA"/>
    </w:rPr>
  </w:style>
  <w:style w:type="paragraph" w:styleId="2">
    <w:name w:val="heading 1"/>
    <w:basedOn w:val="1"/>
    <w:next w:val="1"/>
    <w:link w:val="38"/>
    <w:autoRedefine/>
    <w:qFormat/>
    <w:uiPriority w:val="9"/>
    <w:pPr>
      <w:keepNext/>
      <w:keepLines/>
      <w:spacing w:before="480" w:after="200"/>
      <w:outlineLvl w:val="0"/>
    </w:pPr>
    <w:rPr>
      <w:rFonts w:ascii="Arial" w:hAnsi="Arial" w:eastAsia="Arial" w:cs="Arial"/>
      <w:sz w:val="40"/>
      <w:szCs w:val="40"/>
    </w:rPr>
  </w:style>
  <w:style w:type="paragraph" w:styleId="3">
    <w:name w:val="heading 2"/>
    <w:basedOn w:val="1"/>
    <w:next w:val="1"/>
    <w:link w:val="39"/>
    <w:autoRedefine/>
    <w:unhideWhenUsed/>
    <w:qFormat/>
    <w:uiPriority w:val="9"/>
    <w:pPr>
      <w:keepNext/>
      <w:keepLines/>
      <w:spacing w:before="360" w:after="200"/>
      <w:outlineLvl w:val="1"/>
    </w:pPr>
    <w:rPr>
      <w:rFonts w:ascii="Arial" w:hAnsi="Arial" w:eastAsia="Arial" w:cs="Arial"/>
      <w:sz w:val="34"/>
    </w:rPr>
  </w:style>
  <w:style w:type="paragraph" w:styleId="4">
    <w:name w:val="heading 3"/>
    <w:basedOn w:val="1"/>
    <w:next w:val="1"/>
    <w:link w:val="40"/>
    <w:autoRedefine/>
    <w:unhideWhenUsed/>
    <w:qFormat/>
    <w:uiPriority w:val="9"/>
    <w:pPr>
      <w:keepNext/>
      <w:keepLines/>
      <w:spacing w:before="320" w:after="200"/>
      <w:outlineLvl w:val="2"/>
    </w:pPr>
    <w:rPr>
      <w:rFonts w:ascii="Arial" w:hAnsi="Arial" w:eastAsia="Arial" w:cs="Arial"/>
      <w:sz w:val="30"/>
      <w:szCs w:val="30"/>
    </w:rPr>
  </w:style>
  <w:style w:type="paragraph" w:styleId="5">
    <w:name w:val="heading 4"/>
    <w:basedOn w:val="1"/>
    <w:next w:val="1"/>
    <w:link w:val="41"/>
    <w:autoRedefine/>
    <w:unhideWhenUsed/>
    <w:qFormat/>
    <w:uiPriority w:val="9"/>
    <w:pPr>
      <w:keepNext/>
      <w:keepLines/>
      <w:spacing w:before="320" w:after="200"/>
      <w:outlineLvl w:val="3"/>
    </w:pPr>
    <w:rPr>
      <w:rFonts w:ascii="Arial" w:hAnsi="Arial" w:eastAsia="Arial" w:cs="Arial"/>
      <w:b/>
      <w:bCs/>
      <w:sz w:val="26"/>
      <w:szCs w:val="26"/>
    </w:rPr>
  </w:style>
  <w:style w:type="paragraph" w:styleId="6">
    <w:name w:val="heading 5"/>
    <w:basedOn w:val="1"/>
    <w:next w:val="1"/>
    <w:link w:val="42"/>
    <w:autoRedefine/>
    <w:unhideWhenUsed/>
    <w:qFormat/>
    <w:uiPriority w:val="9"/>
    <w:pPr>
      <w:keepNext/>
      <w:keepLines/>
      <w:spacing w:before="320" w:after="200"/>
      <w:outlineLvl w:val="4"/>
    </w:pPr>
    <w:rPr>
      <w:rFonts w:ascii="Arial" w:hAnsi="Arial" w:eastAsia="Arial" w:cs="Arial"/>
      <w:b/>
      <w:bCs/>
      <w:sz w:val="24"/>
      <w:szCs w:val="24"/>
    </w:rPr>
  </w:style>
  <w:style w:type="paragraph" w:styleId="7">
    <w:name w:val="heading 6"/>
    <w:basedOn w:val="1"/>
    <w:next w:val="1"/>
    <w:link w:val="43"/>
    <w:autoRedefine/>
    <w:unhideWhenUsed/>
    <w:qFormat/>
    <w:uiPriority w:val="9"/>
    <w:pPr>
      <w:keepNext/>
      <w:keepLines/>
      <w:spacing w:before="320" w:after="200"/>
      <w:outlineLvl w:val="5"/>
    </w:pPr>
    <w:rPr>
      <w:rFonts w:ascii="Arial" w:hAnsi="Arial" w:eastAsia="Arial" w:cs="Arial"/>
      <w:b/>
      <w:bCs/>
      <w:sz w:val="22"/>
      <w:szCs w:val="22"/>
    </w:rPr>
  </w:style>
  <w:style w:type="paragraph" w:styleId="8">
    <w:name w:val="heading 7"/>
    <w:basedOn w:val="1"/>
    <w:next w:val="1"/>
    <w:link w:val="44"/>
    <w:autoRedefine/>
    <w:unhideWhenUsed/>
    <w:qFormat/>
    <w:uiPriority w:val="9"/>
    <w:pPr>
      <w:keepNext/>
      <w:keepLines/>
      <w:spacing w:before="320" w:after="200"/>
      <w:outlineLvl w:val="6"/>
    </w:pPr>
    <w:rPr>
      <w:rFonts w:ascii="Arial" w:hAnsi="Arial" w:eastAsia="Arial" w:cs="Arial"/>
      <w:b/>
      <w:bCs/>
      <w:i/>
      <w:iCs/>
      <w:sz w:val="22"/>
      <w:szCs w:val="22"/>
    </w:rPr>
  </w:style>
  <w:style w:type="paragraph" w:styleId="9">
    <w:name w:val="heading 8"/>
    <w:basedOn w:val="1"/>
    <w:next w:val="1"/>
    <w:link w:val="45"/>
    <w:autoRedefine/>
    <w:unhideWhenUsed/>
    <w:qFormat/>
    <w:uiPriority w:val="9"/>
    <w:pPr>
      <w:keepNext/>
      <w:keepLines/>
      <w:spacing w:before="320" w:after="200"/>
      <w:outlineLvl w:val="7"/>
    </w:pPr>
    <w:rPr>
      <w:rFonts w:ascii="Arial" w:hAnsi="Arial" w:eastAsia="Arial" w:cs="Arial"/>
      <w:i/>
      <w:iCs/>
      <w:sz w:val="22"/>
      <w:szCs w:val="22"/>
    </w:rPr>
  </w:style>
  <w:style w:type="paragraph" w:styleId="10">
    <w:name w:val="heading 9"/>
    <w:basedOn w:val="1"/>
    <w:next w:val="1"/>
    <w:link w:val="46"/>
    <w:autoRedefine/>
    <w:unhideWhenUsed/>
    <w:qFormat/>
    <w:uiPriority w:val="9"/>
    <w:pPr>
      <w:keepNext/>
      <w:keepLines/>
      <w:spacing w:before="320" w:after="200"/>
      <w:outlineLvl w:val="8"/>
    </w:pPr>
    <w:rPr>
      <w:rFonts w:ascii="Arial" w:hAnsi="Arial" w:eastAsia="Arial" w:cs="Arial"/>
      <w:i/>
      <w:iCs/>
      <w:sz w:val="21"/>
      <w:szCs w:val="21"/>
    </w:rPr>
  </w:style>
  <w:style w:type="character" w:default="1" w:styleId="33">
    <w:name w:val="Default Paragraph Font"/>
    <w:autoRedefine/>
    <w:semiHidden/>
    <w:unhideWhenUsed/>
    <w:qFormat/>
    <w:uiPriority w:val="1"/>
  </w:style>
  <w:style w:type="table" w:default="1" w:styleId="31">
    <w:name w:val="Normal Table"/>
    <w:autoRedefine/>
    <w:semiHidden/>
    <w:unhideWhenUsed/>
    <w:qFormat/>
    <w:uiPriority w:val="99"/>
    <w:tblPr>
      <w:tblCellMar>
        <w:top w:w="0" w:type="dxa"/>
        <w:left w:w="108" w:type="dxa"/>
        <w:bottom w:w="0" w:type="dxa"/>
        <w:right w:w="108" w:type="dxa"/>
      </w:tblCellMar>
    </w:tblPr>
  </w:style>
  <w:style w:type="paragraph" w:styleId="11">
    <w:name w:val="toc 7"/>
    <w:basedOn w:val="1"/>
    <w:next w:val="1"/>
    <w:autoRedefine/>
    <w:unhideWhenUsed/>
    <w:qFormat/>
    <w:uiPriority w:val="39"/>
    <w:pPr>
      <w:spacing w:after="57"/>
      <w:ind w:left="1701" w:right="0" w:firstLine="0"/>
    </w:pPr>
  </w:style>
  <w:style w:type="paragraph" w:styleId="12">
    <w:name w:val="caption"/>
    <w:basedOn w:val="1"/>
    <w:next w:val="1"/>
    <w:autoRedefine/>
    <w:semiHidden/>
    <w:unhideWhenUsed/>
    <w:qFormat/>
    <w:uiPriority w:val="35"/>
    <w:pPr>
      <w:spacing w:line="276" w:lineRule="auto"/>
    </w:pPr>
    <w:rPr>
      <w:b/>
      <w:bCs/>
      <w:color w:val="4F81BD" w:themeColor="accent1"/>
      <w:sz w:val="18"/>
      <w:szCs w:val="18"/>
      <w14:textFill>
        <w14:solidFill>
          <w14:schemeClr w14:val="accent1"/>
        </w14:solidFill>
      </w14:textFill>
    </w:rPr>
  </w:style>
  <w:style w:type="paragraph" w:styleId="13">
    <w:name w:val="Body Text"/>
    <w:basedOn w:val="1"/>
    <w:next w:val="1"/>
    <w:autoRedefine/>
    <w:unhideWhenUsed/>
    <w:qFormat/>
    <w:uiPriority w:val="0"/>
    <w:pPr>
      <w:spacing w:after="120"/>
    </w:pPr>
    <w:rPr>
      <w:rFonts w:ascii="Calibri" w:hAnsi="Calibri"/>
      <w:szCs w:val="22"/>
    </w:rPr>
  </w:style>
  <w:style w:type="paragraph" w:styleId="14">
    <w:name w:val="toc 5"/>
    <w:basedOn w:val="1"/>
    <w:next w:val="1"/>
    <w:autoRedefine/>
    <w:unhideWhenUsed/>
    <w:qFormat/>
    <w:uiPriority w:val="39"/>
    <w:pPr>
      <w:spacing w:after="57"/>
      <w:ind w:left="1134" w:right="0" w:firstLine="0"/>
    </w:pPr>
  </w:style>
  <w:style w:type="paragraph" w:styleId="15">
    <w:name w:val="toc 3"/>
    <w:basedOn w:val="1"/>
    <w:next w:val="1"/>
    <w:autoRedefine/>
    <w:unhideWhenUsed/>
    <w:qFormat/>
    <w:uiPriority w:val="39"/>
    <w:pPr>
      <w:spacing w:after="57"/>
      <w:ind w:left="567" w:right="0" w:firstLine="0"/>
    </w:pPr>
  </w:style>
  <w:style w:type="paragraph" w:styleId="16">
    <w:name w:val="Plain Text"/>
    <w:basedOn w:val="1"/>
    <w:autoRedefine/>
    <w:qFormat/>
    <w:uiPriority w:val="0"/>
    <w:rPr>
      <w:rFonts w:ascii="宋体" w:hAnsi="Courier New"/>
      <w:szCs w:val="20"/>
    </w:rPr>
  </w:style>
  <w:style w:type="paragraph" w:styleId="17">
    <w:name w:val="toc 8"/>
    <w:basedOn w:val="1"/>
    <w:next w:val="1"/>
    <w:autoRedefine/>
    <w:unhideWhenUsed/>
    <w:qFormat/>
    <w:uiPriority w:val="39"/>
    <w:pPr>
      <w:spacing w:after="57"/>
      <w:ind w:left="1984" w:right="0" w:firstLine="0"/>
    </w:pPr>
  </w:style>
  <w:style w:type="paragraph" w:styleId="18">
    <w:name w:val="endnote text"/>
    <w:basedOn w:val="1"/>
    <w:link w:val="184"/>
    <w:autoRedefine/>
    <w:semiHidden/>
    <w:unhideWhenUsed/>
    <w:qFormat/>
    <w:uiPriority w:val="99"/>
    <w:pPr>
      <w:spacing w:after="0" w:line="240" w:lineRule="auto"/>
    </w:pPr>
    <w:rPr>
      <w:sz w:val="20"/>
    </w:rPr>
  </w:style>
  <w:style w:type="paragraph" w:styleId="19">
    <w:name w:val="footer"/>
    <w:basedOn w:val="1"/>
    <w:link w:val="57"/>
    <w:autoRedefine/>
    <w:unhideWhenUsed/>
    <w:qFormat/>
    <w:uiPriority w:val="99"/>
    <w:pPr>
      <w:tabs>
        <w:tab w:val="center" w:pos="7143"/>
        <w:tab w:val="right" w:pos="14287"/>
      </w:tabs>
      <w:spacing w:after="0" w:line="240" w:lineRule="auto"/>
    </w:pPr>
  </w:style>
  <w:style w:type="paragraph" w:styleId="20">
    <w:name w:val="header"/>
    <w:basedOn w:val="1"/>
    <w:link w:val="55"/>
    <w:autoRedefine/>
    <w:unhideWhenUsed/>
    <w:qFormat/>
    <w:uiPriority w:val="99"/>
    <w:pPr>
      <w:tabs>
        <w:tab w:val="center" w:pos="7143"/>
        <w:tab w:val="right" w:pos="14287"/>
      </w:tabs>
      <w:spacing w:after="0" w:line="240" w:lineRule="auto"/>
    </w:pPr>
  </w:style>
  <w:style w:type="paragraph" w:styleId="21">
    <w:name w:val="toc 1"/>
    <w:basedOn w:val="1"/>
    <w:next w:val="1"/>
    <w:autoRedefine/>
    <w:unhideWhenUsed/>
    <w:qFormat/>
    <w:uiPriority w:val="39"/>
    <w:pPr>
      <w:spacing w:after="57"/>
      <w:ind w:left="0" w:right="0" w:firstLine="0"/>
    </w:pPr>
  </w:style>
  <w:style w:type="paragraph" w:styleId="22">
    <w:name w:val="toc 4"/>
    <w:basedOn w:val="1"/>
    <w:next w:val="1"/>
    <w:autoRedefine/>
    <w:unhideWhenUsed/>
    <w:qFormat/>
    <w:uiPriority w:val="39"/>
    <w:pPr>
      <w:spacing w:after="57"/>
      <w:ind w:left="850" w:right="0" w:firstLine="0"/>
    </w:pPr>
  </w:style>
  <w:style w:type="paragraph" w:styleId="23">
    <w:name w:val="Subtitle"/>
    <w:basedOn w:val="1"/>
    <w:next w:val="1"/>
    <w:link w:val="50"/>
    <w:autoRedefine/>
    <w:qFormat/>
    <w:uiPriority w:val="11"/>
    <w:pPr>
      <w:spacing w:before="200" w:after="200"/>
    </w:pPr>
    <w:rPr>
      <w:sz w:val="24"/>
      <w:szCs w:val="24"/>
    </w:rPr>
  </w:style>
  <w:style w:type="paragraph" w:styleId="24">
    <w:name w:val="footnote text"/>
    <w:basedOn w:val="1"/>
    <w:link w:val="183"/>
    <w:autoRedefine/>
    <w:semiHidden/>
    <w:unhideWhenUsed/>
    <w:qFormat/>
    <w:uiPriority w:val="99"/>
    <w:pPr>
      <w:spacing w:after="40" w:line="240" w:lineRule="auto"/>
    </w:pPr>
    <w:rPr>
      <w:sz w:val="18"/>
    </w:rPr>
  </w:style>
  <w:style w:type="paragraph" w:styleId="25">
    <w:name w:val="toc 6"/>
    <w:basedOn w:val="1"/>
    <w:next w:val="1"/>
    <w:autoRedefine/>
    <w:unhideWhenUsed/>
    <w:qFormat/>
    <w:uiPriority w:val="39"/>
    <w:pPr>
      <w:spacing w:after="57"/>
      <w:ind w:left="1417" w:right="0" w:firstLine="0"/>
    </w:pPr>
  </w:style>
  <w:style w:type="paragraph" w:styleId="26">
    <w:name w:val="table of figures"/>
    <w:basedOn w:val="1"/>
    <w:next w:val="1"/>
    <w:autoRedefine/>
    <w:unhideWhenUsed/>
    <w:qFormat/>
    <w:uiPriority w:val="99"/>
    <w:pPr>
      <w:spacing w:after="0" w:afterAutospacing="0"/>
    </w:pPr>
  </w:style>
  <w:style w:type="paragraph" w:styleId="27">
    <w:name w:val="toc 2"/>
    <w:basedOn w:val="1"/>
    <w:next w:val="1"/>
    <w:autoRedefine/>
    <w:unhideWhenUsed/>
    <w:qFormat/>
    <w:uiPriority w:val="39"/>
    <w:pPr>
      <w:spacing w:after="57"/>
      <w:ind w:left="283" w:right="0" w:firstLine="0"/>
    </w:pPr>
  </w:style>
  <w:style w:type="paragraph" w:styleId="28">
    <w:name w:val="toc 9"/>
    <w:basedOn w:val="1"/>
    <w:next w:val="1"/>
    <w:autoRedefine/>
    <w:unhideWhenUsed/>
    <w:qFormat/>
    <w:uiPriority w:val="39"/>
    <w:pPr>
      <w:spacing w:after="57"/>
      <w:ind w:left="2268" w:right="0" w:firstLine="0"/>
    </w:pPr>
  </w:style>
  <w:style w:type="paragraph" w:styleId="29">
    <w:name w:val="Normal (Web)"/>
    <w:basedOn w:val="1"/>
    <w:autoRedefine/>
    <w:qFormat/>
    <w:uiPriority w:val="0"/>
    <w:pPr>
      <w:widowControl/>
      <w:spacing w:before="100" w:beforeAutospacing="1" w:after="100" w:afterAutospacing="1"/>
      <w:jc w:val="left"/>
    </w:pPr>
    <w:rPr>
      <w:rFonts w:ascii="宋体" w:hAnsi="宋体" w:cs="宋体"/>
      <w:sz w:val="24"/>
    </w:rPr>
  </w:style>
  <w:style w:type="paragraph" w:styleId="30">
    <w:name w:val="Title"/>
    <w:basedOn w:val="1"/>
    <w:next w:val="1"/>
    <w:link w:val="49"/>
    <w:autoRedefine/>
    <w:qFormat/>
    <w:uiPriority w:val="10"/>
    <w:pPr>
      <w:spacing w:before="300" w:after="200"/>
      <w:contextualSpacing/>
    </w:pPr>
    <w:rPr>
      <w:sz w:val="48"/>
      <w:szCs w:val="48"/>
    </w:rPr>
  </w:style>
  <w:style w:type="table" w:styleId="32">
    <w:name w:val="Table Grid"/>
    <w:autoRedefine/>
    <w:qFormat/>
    <w:uiPriority w:val="59"/>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styleId="34">
    <w:name w:val="endnote reference"/>
    <w:autoRedefine/>
    <w:semiHidden/>
    <w:unhideWhenUsed/>
    <w:qFormat/>
    <w:uiPriority w:val="99"/>
    <w:rPr>
      <w:vertAlign w:val="superscript"/>
    </w:rPr>
  </w:style>
  <w:style w:type="character" w:styleId="35">
    <w:name w:val="page number"/>
    <w:autoRedefine/>
    <w:qFormat/>
    <w:uiPriority w:val="0"/>
  </w:style>
  <w:style w:type="character" w:styleId="36">
    <w:name w:val="Hyperlink"/>
    <w:autoRedefine/>
    <w:unhideWhenUsed/>
    <w:qFormat/>
    <w:uiPriority w:val="99"/>
    <w:rPr>
      <w:color w:val="0000FF" w:themeColor="hyperlink"/>
      <w:u w:val="single"/>
      <w14:textFill>
        <w14:solidFill>
          <w14:schemeClr w14:val="hlink"/>
        </w14:solidFill>
      </w14:textFill>
    </w:rPr>
  </w:style>
  <w:style w:type="character" w:styleId="37">
    <w:name w:val="footnote reference"/>
    <w:autoRedefine/>
    <w:unhideWhenUsed/>
    <w:qFormat/>
    <w:uiPriority w:val="99"/>
    <w:rPr>
      <w:vertAlign w:val="superscript"/>
    </w:rPr>
  </w:style>
  <w:style w:type="character" w:customStyle="1" w:styleId="38">
    <w:name w:val="Heading 1 Char"/>
    <w:link w:val="2"/>
    <w:autoRedefine/>
    <w:qFormat/>
    <w:uiPriority w:val="9"/>
    <w:rPr>
      <w:rFonts w:ascii="Arial" w:hAnsi="Arial" w:eastAsia="Arial" w:cs="Arial"/>
      <w:sz w:val="40"/>
      <w:szCs w:val="40"/>
    </w:rPr>
  </w:style>
  <w:style w:type="character" w:customStyle="1" w:styleId="39">
    <w:name w:val="Heading 2 Char"/>
    <w:link w:val="3"/>
    <w:autoRedefine/>
    <w:qFormat/>
    <w:uiPriority w:val="9"/>
    <w:rPr>
      <w:rFonts w:ascii="Arial" w:hAnsi="Arial" w:eastAsia="Arial" w:cs="Arial"/>
      <w:sz w:val="34"/>
    </w:rPr>
  </w:style>
  <w:style w:type="character" w:customStyle="1" w:styleId="40">
    <w:name w:val="Heading 3 Char"/>
    <w:link w:val="4"/>
    <w:autoRedefine/>
    <w:qFormat/>
    <w:uiPriority w:val="9"/>
    <w:rPr>
      <w:rFonts w:ascii="Arial" w:hAnsi="Arial" w:eastAsia="Arial" w:cs="Arial"/>
      <w:sz w:val="30"/>
      <w:szCs w:val="30"/>
    </w:rPr>
  </w:style>
  <w:style w:type="character" w:customStyle="1" w:styleId="41">
    <w:name w:val="Heading 4 Char"/>
    <w:link w:val="5"/>
    <w:autoRedefine/>
    <w:qFormat/>
    <w:uiPriority w:val="9"/>
    <w:rPr>
      <w:rFonts w:ascii="Arial" w:hAnsi="Arial" w:eastAsia="Arial" w:cs="Arial"/>
      <w:b/>
      <w:bCs/>
      <w:sz w:val="26"/>
      <w:szCs w:val="26"/>
    </w:rPr>
  </w:style>
  <w:style w:type="character" w:customStyle="1" w:styleId="42">
    <w:name w:val="Heading 5 Char"/>
    <w:link w:val="6"/>
    <w:autoRedefine/>
    <w:qFormat/>
    <w:uiPriority w:val="9"/>
    <w:rPr>
      <w:rFonts w:ascii="Arial" w:hAnsi="Arial" w:eastAsia="Arial" w:cs="Arial"/>
      <w:b/>
      <w:bCs/>
      <w:sz w:val="24"/>
      <w:szCs w:val="24"/>
    </w:rPr>
  </w:style>
  <w:style w:type="character" w:customStyle="1" w:styleId="43">
    <w:name w:val="Heading 6 Char"/>
    <w:link w:val="7"/>
    <w:autoRedefine/>
    <w:qFormat/>
    <w:uiPriority w:val="9"/>
    <w:rPr>
      <w:rFonts w:ascii="Arial" w:hAnsi="Arial" w:eastAsia="Arial" w:cs="Arial"/>
      <w:b/>
      <w:bCs/>
      <w:sz w:val="22"/>
      <w:szCs w:val="22"/>
    </w:rPr>
  </w:style>
  <w:style w:type="character" w:customStyle="1" w:styleId="44">
    <w:name w:val="Heading 7 Char"/>
    <w:link w:val="8"/>
    <w:autoRedefine/>
    <w:qFormat/>
    <w:uiPriority w:val="9"/>
    <w:rPr>
      <w:rFonts w:ascii="Arial" w:hAnsi="Arial" w:eastAsia="Arial" w:cs="Arial"/>
      <w:b/>
      <w:bCs/>
      <w:i/>
      <w:iCs/>
      <w:sz w:val="22"/>
      <w:szCs w:val="22"/>
    </w:rPr>
  </w:style>
  <w:style w:type="character" w:customStyle="1" w:styleId="45">
    <w:name w:val="Heading 8 Char"/>
    <w:link w:val="9"/>
    <w:autoRedefine/>
    <w:qFormat/>
    <w:uiPriority w:val="9"/>
    <w:rPr>
      <w:rFonts w:ascii="Arial" w:hAnsi="Arial" w:eastAsia="Arial" w:cs="Arial"/>
      <w:i/>
      <w:iCs/>
      <w:sz w:val="22"/>
      <w:szCs w:val="22"/>
    </w:rPr>
  </w:style>
  <w:style w:type="character" w:customStyle="1" w:styleId="46">
    <w:name w:val="Heading 9 Char"/>
    <w:link w:val="10"/>
    <w:autoRedefine/>
    <w:qFormat/>
    <w:uiPriority w:val="9"/>
    <w:rPr>
      <w:rFonts w:ascii="Arial" w:hAnsi="Arial" w:eastAsia="Arial" w:cs="Arial"/>
      <w:i/>
      <w:iCs/>
      <w:sz w:val="21"/>
      <w:szCs w:val="21"/>
    </w:rPr>
  </w:style>
  <w:style w:type="paragraph" w:styleId="47">
    <w:name w:val="List Paragraph"/>
    <w:basedOn w:val="1"/>
    <w:autoRedefine/>
    <w:qFormat/>
    <w:uiPriority w:val="34"/>
    <w:pPr>
      <w:ind w:left="720"/>
      <w:contextualSpacing/>
    </w:pPr>
  </w:style>
  <w:style w:type="paragraph" w:styleId="48">
    <w:name w:val="No Spacing"/>
    <w:autoRedefine/>
    <w:qFormat/>
    <w:uiPriority w:val="1"/>
    <w:pPr>
      <w:spacing w:before="0" w:after="0" w:line="240" w:lineRule="auto"/>
    </w:pPr>
    <w:rPr>
      <w:rFonts w:hint="default" w:ascii="Times New Roman" w:hAnsi="Times New Roman" w:eastAsia="宋体" w:cs="Times New Roman"/>
    </w:rPr>
  </w:style>
  <w:style w:type="character" w:customStyle="1" w:styleId="49">
    <w:name w:val="Title Char"/>
    <w:link w:val="30"/>
    <w:autoRedefine/>
    <w:qFormat/>
    <w:uiPriority w:val="10"/>
    <w:rPr>
      <w:sz w:val="48"/>
      <w:szCs w:val="48"/>
    </w:rPr>
  </w:style>
  <w:style w:type="character" w:customStyle="1" w:styleId="50">
    <w:name w:val="Subtitle Char"/>
    <w:link w:val="23"/>
    <w:autoRedefine/>
    <w:qFormat/>
    <w:uiPriority w:val="11"/>
    <w:rPr>
      <w:sz w:val="24"/>
      <w:szCs w:val="24"/>
    </w:rPr>
  </w:style>
  <w:style w:type="paragraph" w:styleId="51">
    <w:name w:val="Quote"/>
    <w:basedOn w:val="1"/>
    <w:next w:val="1"/>
    <w:link w:val="52"/>
    <w:autoRedefine/>
    <w:qFormat/>
    <w:uiPriority w:val="29"/>
    <w:pPr>
      <w:ind w:left="720" w:right="720"/>
    </w:pPr>
    <w:rPr>
      <w:i/>
    </w:rPr>
  </w:style>
  <w:style w:type="character" w:customStyle="1" w:styleId="52">
    <w:name w:val="Quote Char"/>
    <w:link w:val="51"/>
    <w:autoRedefine/>
    <w:qFormat/>
    <w:uiPriority w:val="29"/>
    <w:rPr>
      <w:i/>
    </w:rPr>
  </w:style>
  <w:style w:type="paragraph" w:styleId="53">
    <w:name w:val="Intense Quote"/>
    <w:basedOn w:val="1"/>
    <w:next w:val="1"/>
    <w:link w:val="54"/>
    <w:autoRedefine/>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contextualSpacing w:val="0"/>
    </w:pPr>
    <w:rPr>
      <w:i/>
    </w:rPr>
  </w:style>
  <w:style w:type="character" w:customStyle="1" w:styleId="54">
    <w:name w:val="Intense Quote Char"/>
    <w:link w:val="53"/>
    <w:autoRedefine/>
    <w:qFormat/>
    <w:uiPriority w:val="30"/>
    <w:rPr>
      <w:i/>
    </w:rPr>
  </w:style>
  <w:style w:type="character" w:customStyle="1" w:styleId="55">
    <w:name w:val="Header Char"/>
    <w:link w:val="20"/>
    <w:autoRedefine/>
    <w:qFormat/>
    <w:uiPriority w:val="99"/>
  </w:style>
  <w:style w:type="character" w:customStyle="1" w:styleId="56">
    <w:name w:val="Footer Char"/>
    <w:link w:val="19"/>
    <w:autoRedefine/>
    <w:qFormat/>
    <w:uiPriority w:val="99"/>
  </w:style>
  <w:style w:type="character" w:customStyle="1" w:styleId="57">
    <w:name w:val="Caption Char"/>
    <w:link w:val="19"/>
    <w:autoRedefine/>
    <w:qFormat/>
    <w:uiPriority w:val="99"/>
  </w:style>
  <w:style w:type="table" w:customStyle="1" w:styleId="58">
    <w:name w:val="Table Grid Light"/>
    <w:autoRedefine/>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style>
  <w:style w:type="table" w:customStyle="1" w:styleId="59">
    <w:name w:val="Plain Table 1"/>
    <w:autoRedefine/>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60">
    <w:name w:val="Plain Table 2"/>
    <w:autoRedefine/>
    <w:qFormat/>
    <w:uiPriority w:val="59"/>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top w:w="0" w:type="dxa"/>
        <w:left w:w="108" w:type="dxa"/>
        <w:bottom w:w="0" w:type="dxa"/>
        <w:right w:w="108" w:type="dxa"/>
      </w:tblCellMar>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61">
    <w:name w:val="Plain Table 3"/>
    <w:autoRedefine/>
    <w:qFormat/>
    <w:uiPriority w:val="99"/>
    <w:pPr>
      <w:spacing w:after="0" w:line="240" w:lineRule="auto"/>
    </w:p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2">
    <w:name w:val="Plain Table 4"/>
    <w:autoRedefine/>
    <w:qFormat/>
    <w:uiPriority w:val="99"/>
    <w:pPr>
      <w:spacing w:after="0" w:line="240" w:lineRule="auto"/>
    </w:p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3">
    <w:name w:val="Plain Table 5"/>
    <w:autoRedefine/>
    <w:qFormat/>
    <w:uiPriority w:val="99"/>
    <w:pPr>
      <w:spacing w:after="0" w:line="240" w:lineRule="auto"/>
    </w:p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4">
    <w:name w:val="Grid Table 1 Light"/>
    <w:autoRedefine/>
    <w:qFormat/>
    <w:uiPriority w:val="99"/>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65">
    <w:name w:val="Grid Table 1 Light - Accent 1"/>
    <w:autoRedefine/>
    <w:qFormat/>
    <w:uiPriority w:val="99"/>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firstRow">
      <w:rPr>
        <w:b/>
        <w:color w:val="404040"/>
      </w:rPr>
      <w:tcPr>
        <w:tcBorders>
          <w:bottom w:val="single" w:color="98B5D8" w:themeColor="accen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66">
    <w:name w:val="Grid Table 1 Light - Accent 2"/>
    <w:autoRedefine/>
    <w:qFormat/>
    <w:uiPriority w:val="99"/>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firstRow">
      <w:rPr>
        <w:b/>
        <w:color w:val="404040"/>
      </w:rPr>
      <w:tcPr>
        <w:tcBorders>
          <w:bottom w:val="single" w:color="DA9896" w:themeColor="accent2"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67">
    <w:name w:val="Grid Table 1 Light - Accent 3"/>
    <w:autoRedefine/>
    <w:qFormat/>
    <w:uiPriority w:val="99"/>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firstRow">
      <w:rPr>
        <w:b/>
        <w:color w:val="404040"/>
      </w:rPr>
      <w:tcPr>
        <w:tcBorders>
          <w:bottom w:val="single" w:color="C4D79E" w:themeColor="accent3"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68">
    <w:name w:val="Grid Table 1 Light - Accent 4"/>
    <w:autoRedefine/>
    <w:qFormat/>
    <w:uiPriority w:val="99"/>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firstRow">
      <w:rPr>
        <w:b/>
        <w:color w:val="404040"/>
      </w:rPr>
      <w:tcPr>
        <w:tcBorders>
          <w:bottom w:val="single" w:color="B4A4C8" w:themeColor="accent4"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69">
    <w:name w:val="Grid Table 1 Light - Accent 5"/>
    <w:autoRedefine/>
    <w:qFormat/>
    <w:uiPriority w:val="99"/>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firstRow">
      <w:rPr>
        <w:b/>
        <w:color w:val="404040"/>
      </w:rPr>
      <w:tcPr>
        <w:tcBorders>
          <w:bottom w:val="single" w:color="95CEDD" w:themeColor="accent5"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70">
    <w:name w:val="Grid Table 1 Light - Accent 6"/>
    <w:autoRedefine/>
    <w:qFormat/>
    <w:uiPriority w:val="99"/>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firstRow">
      <w:rPr>
        <w:b/>
        <w:color w:val="404040"/>
      </w:rPr>
      <w:tcPr>
        <w:tcBorders>
          <w:bottom w:val="single" w:color="FAC192" w:themeColor="accent6"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table" w:customStyle="1" w:styleId="71">
    <w:name w:val="Grid Table 2"/>
    <w:autoRedefine/>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72">
    <w:name w:val="Grid Table 2 - Accent 1"/>
    <w:autoRedefine/>
    <w:qFormat/>
    <w:uiPriority w:val="99"/>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firstRow">
      <w:rPr>
        <w:b/>
        <w:color w:val="404040"/>
      </w:rPr>
      <w:tcPr>
        <w:tcBorders>
          <w:top w:val="nil"/>
          <w:left w:val="nil"/>
          <w:bottom w:val="single" w:color="5D8BC2" w:themeColor="accent1" w:themeTint="EA" w:sz="12" w:space="0"/>
          <w:right w:val="nil"/>
        </w:tcBorders>
        <w:shd w:val="clear" w:color="FFFFFF" w:fill="auto"/>
      </w:tcPr>
    </w:tblStylePr>
    <w:tblStylePr w:type="lastRow">
      <w:rPr>
        <w:b/>
        <w:color w:val="404040"/>
      </w:rPr>
      <w:tcPr>
        <w:tcBorders>
          <w:top w:val="single" w:color="5D8BC2" w:themeColor="accent1" w:themeTint="E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73">
    <w:name w:val="Grid Table 2 - Accent 2"/>
    <w:autoRedefine/>
    <w:qFormat/>
    <w:uiPriority w:val="99"/>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404040"/>
      </w:rPr>
      <w:tcPr>
        <w:tcBorders>
          <w:top w:val="nil"/>
          <w:left w:val="nil"/>
          <w:bottom w:val="single" w:color="D99795" w:themeColor="accent2" w:themeTint="97" w:sz="12" w:space="0"/>
          <w:right w:val="nil"/>
        </w:tcBorders>
        <w:shd w:val="clear" w:color="FFFFFF" w:fill="auto"/>
      </w:tcPr>
    </w:tblStylePr>
    <w:tblStylePr w:type="lastRow">
      <w:rPr>
        <w:b/>
        <w:color w:val="404040"/>
      </w:rPr>
      <w:tcPr>
        <w:tcBorders>
          <w:top w:val="single" w:color="D99795" w:themeColor="accent2" w:themeTint="97"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74">
    <w:name w:val="Grid Table 2 - Accent 3"/>
    <w:autoRedefine/>
    <w:qFormat/>
    <w:uiPriority w:val="99"/>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404040"/>
      </w:rPr>
      <w:tcPr>
        <w:tcBorders>
          <w:top w:val="nil"/>
          <w:left w:val="nil"/>
          <w:bottom w:val="single" w:color="9BBB59" w:themeColor="accent3" w:themeTint="FE" w:sz="12" w:space="0"/>
          <w:right w:val="nil"/>
        </w:tcBorders>
        <w:shd w:val="clear" w:color="FFFFFF" w:fill="auto"/>
      </w:tcPr>
    </w:tblStylePr>
    <w:tblStylePr w:type="lastRow">
      <w:rPr>
        <w:b/>
        <w:color w:val="404040"/>
      </w:rPr>
      <w:tcPr>
        <w:tcBorders>
          <w:top w:val="single" w:color="9BBB59" w:themeColor="accent3" w:themeTint="FE"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75">
    <w:name w:val="Grid Table 2 - Accent 4"/>
    <w:autoRedefine/>
    <w:qFormat/>
    <w:uiPriority w:val="99"/>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404040"/>
      </w:rPr>
      <w:tcPr>
        <w:tcBorders>
          <w:top w:val="nil"/>
          <w:left w:val="nil"/>
          <w:bottom w:val="single" w:color="B2A1C6" w:themeColor="accent4" w:themeTint="9A" w:sz="12" w:space="0"/>
          <w:right w:val="nil"/>
        </w:tcBorders>
        <w:shd w:val="clear" w:color="FFFFFF" w:fill="auto"/>
      </w:tcPr>
    </w:tblStylePr>
    <w:tblStylePr w:type="lastRow">
      <w:rPr>
        <w:b/>
        <w:color w:val="404040"/>
      </w:rPr>
      <w:tcPr>
        <w:tcBorders>
          <w:top w:val="single" w:color="B2A1C6" w:themeColor="accent4" w:themeTint="9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76">
    <w:name w:val="Grid Table 2 - Accent 5"/>
    <w:autoRedefine/>
    <w:qFormat/>
    <w:uiPriority w:val="99"/>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firstRow">
      <w:rPr>
        <w:b/>
        <w:color w:val="404040"/>
      </w:rPr>
      <w:tcPr>
        <w:tcBorders>
          <w:top w:val="nil"/>
          <w:left w:val="nil"/>
          <w:bottom w:val="single" w:color="4BACC6" w:themeColor="accent5" w:sz="12" w:space="0"/>
          <w:right w:val="nil"/>
        </w:tcBorders>
        <w:shd w:val="clear" w:color="FFFFFF" w:fill="auto"/>
      </w:tcPr>
    </w:tblStylePr>
    <w:tblStylePr w:type="lastRow">
      <w:rPr>
        <w:b/>
        <w:color w:val="404040"/>
      </w:rPr>
      <w:tcPr>
        <w:tcBorders>
          <w:top w:val="single" w:color="4BACC6" w:themeColor="accent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77">
    <w:name w:val="Grid Table 2 - Accent 6"/>
    <w:autoRedefine/>
    <w:qFormat/>
    <w:uiPriority w:val="99"/>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firstRow">
      <w:rPr>
        <w:b/>
        <w:color w:val="404040"/>
      </w:rPr>
      <w:tcPr>
        <w:tcBorders>
          <w:top w:val="nil"/>
          <w:left w:val="nil"/>
          <w:bottom w:val="single" w:color="F79646" w:themeColor="accent6" w:sz="12" w:space="0"/>
          <w:right w:val="nil"/>
        </w:tcBorders>
        <w:shd w:val="clear" w:color="FFFFFF" w:fill="auto"/>
      </w:tcPr>
    </w:tblStylePr>
    <w:tblStylePr w:type="lastRow">
      <w:rPr>
        <w:b/>
        <w:color w:val="404040"/>
      </w:rPr>
      <w:tcPr>
        <w:tcBorders>
          <w:top w:val="single" w:color="F79646" w:themeColor="accent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78">
    <w:name w:val="Grid Table 3"/>
    <w:autoRedefine/>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79">
    <w:name w:val="Grid Table 3 - Accent 1"/>
    <w:autoRedefine/>
    <w:qFormat/>
    <w:uiPriority w:val="99"/>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80">
    <w:name w:val="Grid Table 3 - Accent 2"/>
    <w:autoRedefine/>
    <w:qFormat/>
    <w:uiPriority w:val="99"/>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81">
    <w:name w:val="Grid Table 3 - Accent 3"/>
    <w:autoRedefine/>
    <w:qFormat/>
    <w:uiPriority w:val="99"/>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82">
    <w:name w:val="Grid Table 3 - Accent 4"/>
    <w:autoRedefine/>
    <w:qFormat/>
    <w:uiPriority w:val="99"/>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83">
    <w:name w:val="Grid Table 3 - Accent 5"/>
    <w:autoRedefine/>
    <w:qFormat/>
    <w:uiPriority w:val="99"/>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84">
    <w:name w:val="Grid Table 3 - Accent 6"/>
    <w:autoRedefine/>
    <w:qFormat/>
    <w:uiPriority w:val="99"/>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85">
    <w:name w:val="Grid Table 4"/>
    <w:autoRedefine/>
    <w:qFormat/>
    <w:uiPriority w:val="59"/>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86">
    <w:name w:val="Grid Table 4 - Accent 1"/>
    <w:autoRedefine/>
    <w:qFormat/>
    <w:uiPriority w:val="59"/>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firstRow">
      <w:rPr>
        <w:rFonts w:ascii="Arial" w:hAnsi="Arial"/>
        <w:b/>
        <w:color w:val="FFFFFF"/>
        <w:sz w:val="22"/>
      </w:rPr>
      <w:tcPr>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shd w:val="clear" w:color="5D8BC2" w:themeColor="accent1" w:themeTint="EA" w:fill="5D8BC2" w:themeFill="accent1" w:themeFillTint="EA"/>
      </w:tcPr>
    </w:tblStylePr>
    <w:tblStylePr w:type="lastRow">
      <w:rPr>
        <w:b/>
        <w:color w:val="404040"/>
      </w:rPr>
      <w:tcPr>
        <w:tcBorders>
          <w:top w:val="single" w:color="5D8BC2" w:themeColor="accent1" w:themeTint="E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CE6F2" w:themeColor="accent1" w:themeTint="32" w:fill="DCE6F2" w:themeFill="accent1" w:themeFillTint="32"/>
      </w:tcPr>
    </w:tblStylePr>
    <w:tblStylePr w:type="band1Horz">
      <w:rPr>
        <w:rFonts w:ascii="Arial" w:hAnsi="Arial"/>
        <w:color w:val="404040"/>
        <w:sz w:val="22"/>
      </w:rPr>
      <w:tcPr>
        <w:shd w:val="clear" w:color="DCE6F2" w:themeColor="accent1" w:themeTint="32" w:fill="DCE6F2" w:themeFill="accent1" w:themeFillTint="32"/>
      </w:tcPr>
    </w:tblStylePr>
  </w:style>
  <w:style w:type="table" w:customStyle="1" w:styleId="87">
    <w:name w:val="Grid Table 4 - Accent 2"/>
    <w:autoRedefine/>
    <w:qFormat/>
    <w:uiPriority w:val="59"/>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firstRow">
      <w:rPr>
        <w:rFonts w:ascii="Arial" w:hAnsi="Arial"/>
        <w:b/>
        <w:color w:val="FFFFFF"/>
        <w:sz w:val="22"/>
      </w:rPr>
      <w:tcPr>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shd w:val="clear" w:color="D99795" w:themeColor="accent2" w:themeTint="97" w:fill="D99795" w:themeFill="accent2" w:themeFillTint="97"/>
      </w:tcPr>
    </w:tblStylePr>
    <w:tblStylePr w:type="lastRow">
      <w:rPr>
        <w:b/>
        <w:color w:val="404040"/>
      </w:rPr>
      <w:tcPr>
        <w:tcBorders>
          <w:top w:val="single" w:color="D99795" w:themeColor="accent2" w:themeTint="97"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88">
    <w:name w:val="Grid Table 4 - Accent 3"/>
    <w:autoRedefine/>
    <w:qFormat/>
    <w:uiPriority w:val="59"/>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firstRow">
      <w:rPr>
        <w:rFonts w:ascii="Arial" w:hAnsi="Arial"/>
        <w:b/>
        <w:color w:val="FFFFFF"/>
        <w:sz w:val="22"/>
      </w:rPr>
      <w:tcPr>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shd w:val="clear" w:color="9BBB59" w:themeColor="accent3" w:themeTint="FE" w:fill="9BBB59" w:themeFill="accent3" w:themeFillTint="FE"/>
      </w:tcPr>
    </w:tblStylePr>
    <w:tblStylePr w:type="lastRow">
      <w:rPr>
        <w:b/>
        <w:color w:val="404040"/>
      </w:rPr>
      <w:tcPr>
        <w:tcBorders>
          <w:top w:val="single" w:color="9BBB59" w:themeColor="accent3" w:themeTint="FE"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89">
    <w:name w:val="Grid Table 4 - Accent 4"/>
    <w:autoRedefine/>
    <w:qFormat/>
    <w:uiPriority w:val="59"/>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firstRow">
      <w:rPr>
        <w:rFonts w:ascii="Arial" w:hAnsi="Arial"/>
        <w:b/>
        <w:color w:val="FFFFFF"/>
        <w:sz w:val="22"/>
      </w:rPr>
      <w:tcPr>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shd w:val="clear" w:color="B2A1C6" w:themeColor="accent4" w:themeTint="9A" w:fill="B2A1C6" w:themeFill="accent4" w:themeFillTint="9A"/>
      </w:tcPr>
    </w:tblStylePr>
    <w:tblStylePr w:type="lastRow">
      <w:rPr>
        <w:b/>
        <w:color w:val="404040"/>
      </w:rPr>
      <w:tcPr>
        <w:tcBorders>
          <w:top w:val="single" w:color="B2A1C6" w:themeColor="accent4" w:themeTint="9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90">
    <w:name w:val="Grid Table 4 - Accent 5"/>
    <w:autoRedefine/>
    <w:qFormat/>
    <w:uiPriority w:val="59"/>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firstRow">
      <w:rPr>
        <w:rFonts w:ascii="Arial" w:hAnsi="Arial"/>
        <w:b/>
        <w:color w:val="FFFFFF"/>
        <w:sz w:val="22"/>
      </w:rPr>
      <w:tcPr>
        <w:tcBorders>
          <w:top w:val="single" w:color="4BACC6" w:themeColor="accent5" w:sz="4" w:space="0"/>
          <w:left w:val="single" w:color="4BACC6" w:themeColor="accent5" w:sz="4" w:space="0"/>
          <w:bottom w:val="single" w:color="4BACC6" w:themeColor="accent5" w:sz="4" w:space="0"/>
          <w:right w:val="single" w:color="4BACC6" w:themeColor="accent5" w:sz="4" w:space="0"/>
        </w:tcBorders>
        <w:shd w:val="clear" w:color="4BACC6" w:themeColor="accent5" w:fill="4BACC6" w:themeFill="accent5"/>
      </w:tcPr>
    </w:tblStylePr>
    <w:tblStylePr w:type="lastRow">
      <w:rPr>
        <w:b/>
        <w:color w:val="404040"/>
      </w:rPr>
      <w:tcPr>
        <w:tcBorders>
          <w:top w:val="single" w:color="4BACC6" w:themeColor="accent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91">
    <w:name w:val="Grid Table 4 - Accent 6"/>
    <w:autoRedefine/>
    <w:qFormat/>
    <w:uiPriority w:val="59"/>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firstRow">
      <w:rPr>
        <w:rFonts w:ascii="Arial" w:hAnsi="Arial"/>
        <w:b/>
        <w:color w:val="FFFFFF"/>
        <w:sz w:val="22"/>
      </w:rPr>
      <w:tcPr>
        <w:tcBorders>
          <w:top w:val="single" w:color="F79646" w:themeColor="accent6" w:sz="4" w:space="0"/>
          <w:left w:val="single" w:color="F79646" w:themeColor="accent6" w:sz="4" w:space="0"/>
          <w:bottom w:val="single" w:color="F79646" w:themeColor="accent6" w:sz="4" w:space="0"/>
          <w:right w:val="single" w:color="F79646" w:themeColor="accent6" w:sz="4" w:space="0"/>
        </w:tcBorders>
        <w:shd w:val="clear" w:color="F79646" w:themeColor="accent6" w:fill="F79646" w:themeFill="accent6"/>
      </w:tcPr>
    </w:tblStylePr>
    <w:tblStylePr w:type="lastRow">
      <w:rPr>
        <w:b/>
        <w:color w:val="404040"/>
      </w:rPr>
      <w:tcPr>
        <w:tcBorders>
          <w:top w:val="single" w:color="F79646" w:themeColor="accent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92">
    <w:name w:val="Grid Table 5 Dark"/>
    <w:autoRedefine/>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93">
    <w:name w:val="Grid Table 5 Dark- Accent 1"/>
    <w:autoRedefine/>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tcBorders>
          <w:top w:val="single" w:color="FFFFFF" w:themeColor="light1" w:sz="4" w:space="0"/>
        </w:tcBorders>
        <w:shd w:val="clear" w:color="4F81BD" w:themeColor="accent1" w:fill="4F81BD" w:themeFill="accent1"/>
      </w:tcPr>
    </w:tblStylePr>
    <w:tblStylePr w:type="firstCol">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band1Vert">
      <w:tcPr>
        <w:shd w:val="clear" w:color="AEC5E0" w:themeColor="accent1" w:themeTint="75" w:fill="AEC5E0" w:themeFill="accent1" w:themeFillTint="75"/>
      </w:tcPr>
    </w:tblStylePr>
    <w:tblStylePr w:type="band1Horz">
      <w:tcPr>
        <w:shd w:val="clear" w:color="AEC5E0" w:themeColor="accent1" w:themeTint="75" w:fill="AEC5E0" w:themeFill="accent1" w:themeFillTint="75"/>
      </w:tcPr>
    </w:tblStylePr>
  </w:style>
  <w:style w:type="table" w:customStyle="1" w:styleId="94">
    <w:name w:val="Grid Table 5 Dark - Accent 2"/>
    <w:autoRedefine/>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tcBorders>
          <w:top w:val="single" w:color="FFFFFF" w:themeColor="light1" w:sz="4" w:space="0"/>
        </w:tcBorders>
        <w:shd w:val="clear" w:color="C0504D" w:themeColor="accent2" w:fill="C0504D" w:themeFill="accent2"/>
      </w:tcPr>
    </w:tblStylePr>
    <w:tblStylePr w:type="firstCol">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band1Vert">
      <w:tcPr>
        <w:shd w:val="clear" w:color="E2AEAD" w:themeColor="accent2" w:themeTint="75" w:fill="E2AEAD" w:themeFill="accent2" w:themeFillTint="75"/>
      </w:tcPr>
    </w:tblStylePr>
    <w:tblStylePr w:type="band1Horz">
      <w:tcPr>
        <w:shd w:val="clear" w:color="E2AEAD" w:themeColor="accent2" w:themeTint="75" w:fill="E2AEAD" w:themeFill="accent2" w:themeFillTint="75"/>
      </w:tcPr>
    </w:tblStylePr>
  </w:style>
  <w:style w:type="table" w:customStyle="1" w:styleId="95">
    <w:name w:val="Grid Table 5 Dark - Accent 3"/>
    <w:autoRedefine/>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tcBorders>
          <w:top w:val="single" w:color="FFFFFF" w:themeColor="light1" w:sz="4" w:space="0"/>
        </w:tcBorders>
        <w:shd w:val="clear" w:color="9BBB59" w:themeColor="accent3" w:fill="9BBB59" w:themeFill="accent3"/>
      </w:tcPr>
    </w:tblStylePr>
    <w:tblStylePr w:type="firstCol">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band1Vert">
      <w:tcPr>
        <w:shd w:val="clear" w:color="D1DFB2" w:themeColor="accent3" w:themeTint="75" w:fill="D1DFB2" w:themeFill="accent3" w:themeFillTint="75"/>
      </w:tcPr>
    </w:tblStylePr>
    <w:tblStylePr w:type="band1Horz">
      <w:tcPr>
        <w:shd w:val="clear" w:color="D1DFB2" w:themeColor="accent3" w:themeTint="75" w:fill="D1DFB2" w:themeFill="accent3" w:themeFillTint="75"/>
      </w:tcPr>
    </w:tblStylePr>
  </w:style>
  <w:style w:type="table" w:customStyle="1" w:styleId="96">
    <w:name w:val="Grid Table 5 Dark- Accent 4"/>
    <w:autoRedefine/>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tcBorders>
          <w:top w:val="single" w:color="FFFFFF" w:themeColor="light1" w:sz="4" w:space="0"/>
        </w:tcBorders>
        <w:shd w:val="clear" w:color="8064A2" w:themeColor="accent4" w:fill="8064A2" w:themeFill="accent4"/>
      </w:tcPr>
    </w:tblStylePr>
    <w:tblStylePr w:type="firstCol">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band1Vert">
      <w:tcPr>
        <w:shd w:val="clear" w:color="C4B7D4" w:themeColor="accent4" w:themeTint="75" w:fill="C4B7D4" w:themeFill="accent4" w:themeFillTint="75"/>
      </w:tcPr>
    </w:tblStylePr>
    <w:tblStylePr w:type="band1Horz">
      <w:tcPr>
        <w:shd w:val="clear" w:color="C4B7D4" w:themeColor="accent4" w:themeTint="75" w:fill="C4B7D4" w:themeFill="accent4" w:themeFillTint="75"/>
      </w:tcPr>
    </w:tblStylePr>
  </w:style>
  <w:style w:type="table" w:customStyle="1" w:styleId="97">
    <w:name w:val="Grid Table 5 Dark - Accent 5"/>
    <w:autoRedefine/>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tcBorders>
          <w:top w:val="single" w:color="FFFFFF" w:themeColor="light1" w:sz="4" w:space="0"/>
        </w:tcBorders>
        <w:shd w:val="clear" w:color="4BACC6" w:themeColor="accent5" w:fill="4BACC6" w:themeFill="accent5"/>
      </w:tcPr>
    </w:tblStylePr>
    <w:tblStylePr w:type="firstCol">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band1Vert">
      <w:tcPr>
        <w:shd w:val="clear" w:color="ACD8E4" w:themeColor="accent5" w:themeTint="75" w:fill="ACD8E4" w:themeFill="accent5" w:themeFillTint="75"/>
      </w:tcPr>
    </w:tblStylePr>
    <w:tblStylePr w:type="band1Horz">
      <w:tcPr>
        <w:shd w:val="clear" w:color="ACD8E4" w:themeColor="accent5" w:themeTint="75" w:fill="ACD8E4" w:themeFill="accent5" w:themeFillTint="75"/>
      </w:tcPr>
    </w:tblStylePr>
  </w:style>
  <w:style w:type="table" w:customStyle="1" w:styleId="98">
    <w:name w:val="Grid Table 5 Dark - Accent 6"/>
    <w:autoRedefine/>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tcBorders>
          <w:top w:val="single" w:color="FFFFFF" w:themeColor="light1" w:sz="4" w:space="0"/>
        </w:tcBorders>
        <w:shd w:val="clear" w:color="F79646" w:themeColor="accent6" w:fill="F79646" w:themeFill="accent6"/>
      </w:tcPr>
    </w:tblStylePr>
    <w:tblStylePr w:type="firstCol">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band1Vert">
      <w:tcPr>
        <w:shd w:val="clear" w:color="FBCEAA" w:themeColor="accent6" w:themeTint="75" w:fill="FBCEAA" w:themeFill="accent6" w:themeFillTint="75"/>
      </w:tcPr>
    </w:tblStylePr>
    <w:tblStylePr w:type="band1Horz">
      <w:tcPr>
        <w:shd w:val="clear" w:color="FBCEAA" w:themeColor="accent6" w:themeTint="75" w:fill="FBCEAA" w:themeFill="accent6" w:themeFillTint="75"/>
      </w:tcPr>
    </w:tblStylePr>
  </w:style>
  <w:style w:type="table" w:customStyle="1" w:styleId="99">
    <w:name w:val="Grid Table 6 Colorful"/>
    <w:autoRedefine/>
    <w:qFormat/>
    <w:uiPriority w:val="99"/>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00">
    <w:name w:val="Grid Table 6 Colorful - Accent 1"/>
    <w:autoRedefine/>
    <w:qFormat/>
    <w:uiPriority w:val="99"/>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Row">
      <w:rPr>
        <w:b/>
        <w:color w:val="A7C0DE" w:themeColor="accent1" w:themeTint="80"/>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lastCol">
      <w:rPr>
        <w:b/>
        <w:color w:val="A7C0DE" w:themeColor="accent1" w:themeTint="80"/>
        <w14:textFill>
          <w14:solidFill>
            <w14:schemeClr w14:val="accent1">
              <w14:lumMod w14:val="50000"/>
              <w14:lumOff w14:val="50000"/>
            </w14:schemeClr>
          </w14:solidFill>
        </w14:textFill>
      </w:r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01">
    <w:name w:val="Grid Table 6 Colorful - Accent 2"/>
    <w:autoRedefine/>
    <w:qFormat/>
    <w:uiPriority w:val="99"/>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Row">
      <w:rPr>
        <w:b/>
        <w:color w:val="DA9896" w:themeColor="accent2" w:themeTint="96"/>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02">
    <w:name w:val="Grid Table 6 Colorful - Accent 3"/>
    <w:autoRedefine/>
    <w:qFormat/>
    <w:uiPriority w:val="99"/>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Row">
      <w:rPr>
        <w:b/>
        <w:color w:val="9BBB59" w:themeColor="accent3" w:themeTint="FF"/>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lastCol">
      <w:rPr>
        <w:b/>
        <w:color w:val="9BBB59" w:themeColor="accent3" w:themeTint="FF"/>
        <w14:textFill>
          <w14:solidFill>
            <w14:schemeClr w14:val="accent3">
              <w14:lumMod w14:val="100000"/>
              <w14:lumOff w14:val="0"/>
            </w14:schemeClr>
          </w14:solidFill>
        </w14:textFill>
      </w:rPr>
    </w:tblStylePr>
    <w:tblStylePr w:type="band1Vert">
      <w:tcPr>
        <w:shd w:val="clear" w:color="EAF1DD" w:themeColor="accent3" w:themeTint="34" w:fill="EAF1DD" w:themeFill="accent3" w:themeFillTint="34"/>
      </w:tcPr>
    </w:tblStyle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style>
  <w:style w:type="table" w:customStyle="1" w:styleId="103">
    <w:name w:val="Grid Table 6 Colorful - Accent 4"/>
    <w:autoRedefine/>
    <w:qFormat/>
    <w:uiPriority w:val="99"/>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Row">
      <w:rPr>
        <w:b/>
        <w:color w:val="B3A2C7" w:themeColor="accent4" w:themeTint="99"/>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04">
    <w:name w:val="Grid Table 6 Colorful - Accent 5"/>
    <w:autoRedefine/>
    <w:qFormat/>
    <w:uiPriority w:val="99"/>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firstRow">
      <w:rPr>
        <w:b/>
        <w:color w:val="266778" w:themeColor="accent5" w:themeShade="94"/>
      </w:rPr>
      <w:tcPr>
        <w:tcBorders>
          <w:bottom w:val="single" w:color="4BACC6" w:themeColor="accent5"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05">
    <w:name w:val="Grid Table 6 Colorful - Accent 6"/>
    <w:autoRedefine/>
    <w:qFormat/>
    <w:uiPriority w:val="99"/>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firstRow">
      <w:rPr>
        <w:b/>
        <w:color w:val="266778" w:themeColor="accent5" w:themeShade="94"/>
      </w:rPr>
      <w:tcPr>
        <w:tcBorders>
          <w:bottom w:val="single" w:color="F79646" w:themeColor="accent6"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FDE9D9" w:themeColor="accent6" w:themeTint="34" w:fill="FDE9D9" w:themeFill="accent6" w:themeFillTint="34"/>
      </w:tcPr>
    </w:tblStyle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2Horz">
      <w:rPr>
        <w:rFonts w:ascii="Arial" w:hAnsi="Arial"/>
        <w:color w:val="266778" w:themeColor="accent5" w:themeShade="94"/>
        <w:sz w:val="22"/>
      </w:rPr>
    </w:tblStylePr>
  </w:style>
  <w:style w:type="table" w:customStyle="1" w:styleId="106">
    <w:name w:val="Grid Table 7 Colorful"/>
    <w:autoRedefine/>
    <w:qFormat/>
    <w:uiPriority w:val="99"/>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07">
    <w:name w:val="Grid Table 7 Colorful - Accent 1"/>
    <w:autoRedefine/>
    <w:qFormat/>
    <w:uiPriority w:val="99"/>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firstRow">
      <w:rPr>
        <w:rFonts w:ascii="Arial" w:hAnsi="Arial"/>
        <w:b/>
        <w:color w:val="A7C0DE" w:themeColor="accent1" w:themeTint="80"/>
        <w:sz w:val="22"/>
        <w14:textFill>
          <w14:solidFill>
            <w14:schemeClr w14:val="accent1">
              <w14:lumMod w14:val="50000"/>
              <w14:lumOff w14:val="50000"/>
            </w14:schemeClr>
          </w14:solidFill>
        </w14:textFill>
      </w:rPr>
      <w:tcPr>
        <w:tcBorders>
          <w:top w:val="nil"/>
          <w:left w:val="nil"/>
          <w:bottom w:val="single" w:color="A6BFDD" w:themeColor="accent1" w:themeTint="80" w:sz="4" w:space="0"/>
          <w:right w:val="nil"/>
        </w:tcBorders>
        <w:shd w:val="clear" w:color="FFFFFF" w:themeColor="light1" w:fill="FFFFFF" w:themeFill="light1"/>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tcBorders>
          <w:top w:val="single" w:color="A6BFDD" w:themeColor="accent1" w:themeTint="80" w:sz="4" w:space="0"/>
          <w:left w:val="nil"/>
          <w:bottom w:val="nil"/>
          <w:right w:val="nil"/>
        </w:tcBorders>
        <w:shd w:val="clear" w:color="FFFFFF" w:themeColor="light1" w:fill="FFFFFF" w:themeFill="light1"/>
      </w:tcPr>
    </w:tblStylePr>
    <w:tblStylePr w:type="firstCol">
      <w:pPr>
        <w:jc w:val="right"/>
      </w:pPr>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nil"/>
          <w:bottom w:val="nil"/>
          <w:right w:val="single" w:color="A6BFDD" w:themeColor="accent1" w:themeTint="80" w:sz="4" w:space="0"/>
        </w:tcBorders>
        <w:shd w:val="clear" w:color="FFFFFF" w:fill="auto"/>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single" w:color="A6BFDD" w:themeColor="accent1" w:themeTint="80" w:sz="4" w:space="0"/>
          <w:bottom w:val="nil"/>
          <w:right w:val="nil"/>
        </w:tcBorders>
        <w:shd w:val="clear" w:color="FFFFFF" w:fill="auto"/>
      </w:tc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08">
    <w:name w:val="Grid Table 7 Colorful - Accent 2"/>
    <w:autoRedefine/>
    <w:qFormat/>
    <w:uiPriority w:val="99"/>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firstRow">
      <w:rPr>
        <w:rFonts w:ascii="Arial" w:hAnsi="Arial"/>
        <w:b/>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09">
    <w:name w:val="Grid Table 7 Colorful - Accent 3"/>
    <w:autoRedefine/>
    <w:qFormat/>
    <w:uiPriority w:val="99"/>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firstRow">
      <w:rPr>
        <w:rFonts w:ascii="Arial" w:hAnsi="Arial"/>
        <w:b/>
        <w:color w:val="9BBB59" w:themeColor="accent3" w:themeTint="FF"/>
        <w:sz w:val="22"/>
        <w14:textFill>
          <w14:solidFill>
            <w14:schemeClr w14:val="accent3">
              <w14:lumMod w14:val="100000"/>
              <w14:lumOff w14:val="0"/>
            </w14:schemeClr>
          </w14:solidFill>
        </w14:textFill>
      </w:rPr>
      <w:tcPr>
        <w:tcBorders>
          <w:top w:val="nil"/>
          <w:left w:val="nil"/>
          <w:bottom w:val="single" w:color="9BBB59" w:themeColor="accent3" w:themeTint="FE" w:sz="4" w:space="0"/>
          <w:right w:val="nil"/>
        </w:tcBorders>
        <w:shd w:val="clear" w:color="FFFFFF" w:themeColor="light1" w:fill="FFFFFF" w:themeFill="light1"/>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tcBorders>
          <w:top w:val="single" w:color="9BBB59" w:themeColor="accent3" w:themeTint="FE" w:sz="4" w:space="0"/>
          <w:left w:val="nil"/>
          <w:bottom w:val="nil"/>
          <w:right w:val="nil"/>
        </w:tcBorders>
        <w:shd w:val="clear" w:color="FFFFFF" w:themeColor="light1" w:fill="FFFFFF" w:themeFill="light1"/>
      </w:tcPr>
    </w:tblStylePr>
    <w:tblStylePr w:type="firstCol">
      <w:pPr>
        <w:jc w:val="right"/>
      </w:pPr>
      <w:rPr>
        <w:rFonts w:ascii="Arial" w:hAnsi="Arial"/>
        <w:i/>
        <w:color w:val="9BBB59" w:themeColor="accent3" w:themeTint="FF"/>
        <w:sz w:val="22"/>
        <w14:textFill>
          <w14:solidFill>
            <w14:schemeClr w14:val="accent3">
              <w14:lumMod w14:val="100000"/>
              <w14:lumOff w14:val="0"/>
            </w14:schemeClr>
          </w14:solidFill>
        </w14:textFill>
      </w:rPr>
      <w:tcPr>
        <w:tcBorders>
          <w:top w:val="nil"/>
          <w:left w:val="nil"/>
          <w:bottom w:val="nil"/>
          <w:right w:val="single" w:color="9BBB59" w:themeColor="accent3" w:themeTint="FE" w:sz="4" w:space="0"/>
        </w:tcBorders>
        <w:shd w:val="clear" w:color="FFFFFF" w:fill="auto"/>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tcBorders>
          <w:top w:val="nil"/>
          <w:left w:val="single" w:color="9BBB59" w:themeColor="accent3" w:themeTint="FE" w:sz="4" w:space="0"/>
          <w:bottom w:val="nil"/>
          <w:right w:val="nil"/>
        </w:tcBorders>
        <w:shd w:val="clear" w:color="FFFFFF" w:fill="auto"/>
      </w:tcPr>
    </w:tblStylePr>
    <w:tblStylePr w:type="band1Vert">
      <w:tcPr>
        <w:shd w:val="clear" w:color="EAF1DD" w:themeColor="accent3" w:themeTint="34" w:fill="EAF1DD" w:themeFill="accent3" w:themeFillTint="34"/>
      </w:tcPr>
    </w:tblStyle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style>
  <w:style w:type="table" w:customStyle="1" w:styleId="110">
    <w:name w:val="Grid Table 7 Colorful - Accent 4"/>
    <w:autoRedefine/>
    <w:qFormat/>
    <w:uiPriority w:val="99"/>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firstRow">
      <w:rPr>
        <w:rFonts w:ascii="Arial" w:hAnsi="Arial"/>
        <w:b/>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11">
    <w:name w:val="Grid Table 7 Colorful - Accent 5"/>
    <w:autoRedefine/>
    <w:qFormat/>
    <w:uiPriority w:val="99"/>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firstRow">
      <w:rPr>
        <w:rFonts w:ascii="Arial" w:hAnsi="Arial"/>
        <w:b/>
        <w:color w:val="266778" w:themeColor="accent5" w:themeShade="94"/>
        <w:sz w:val="22"/>
      </w:rPr>
      <w:tcPr>
        <w:tcBorders>
          <w:top w:val="nil"/>
          <w:left w:val="nil"/>
          <w:bottom w:val="single" w:color="99D0DE" w:themeColor="accent5" w:themeTint="90" w:sz="4" w:space="0"/>
          <w:right w:val="nil"/>
        </w:tcBorders>
        <w:shd w:val="clear" w:color="FFFFFF" w:themeColor="light1" w:fill="FFFFFF" w:themeFill="light1"/>
      </w:tcPr>
    </w:tblStylePr>
    <w:tblStylePr w:type="lastRow">
      <w:rPr>
        <w:rFonts w:ascii="Arial" w:hAnsi="Arial"/>
        <w:b/>
        <w:color w:val="266778" w:themeColor="accent5" w:themeShade="94"/>
        <w:sz w:val="22"/>
      </w:rPr>
      <w:tcPr>
        <w:tcBorders>
          <w:top w:val="single" w:color="99D0DE" w:themeColor="accent5" w:themeTint="90" w:sz="4" w:space="0"/>
          <w:left w:val="nil"/>
          <w:bottom w:val="nil"/>
          <w:right w:val="nil"/>
        </w:tcBorders>
        <w:shd w:val="clear" w:color="FFFFFF" w:themeColor="light1" w:fill="FFFFFF" w:themeFill="light1"/>
      </w:tcPr>
    </w:tblStylePr>
    <w:tblStylePr w:type="firstCol">
      <w:pPr>
        <w:jc w:val="right"/>
      </w:pPr>
      <w:rPr>
        <w:rFonts w:ascii="Arial" w:hAnsi="Arial"/>
        <w:i/>
        <w:color w:val="266778" w:themeColor="accent5" w:themeShade="94"/>
        <w:sz w:val="22"/>
      </w:rPr>
      <w:tcPr>
        <w:tcBorders>
          <w:top w:val="nil"/>
          <w:left w:val="nil"/>
          <w:bottom w:val="nil"/>
          <w:right w:val="single" w:color="99D0DE" w:themeColor="accent5" w:themeTint="90" w:sz="4" w:space="0"/>
        </w:tcBorders>
        <w:shd w:val="clear" w:color="FFFFFF" w:fill="auto"/>
      </w:tcPr>
    </w:tblStylePr>
    <w:tblStylePr w:type="lastCol">
      <w:rPr>
        <w:rFonts w:ascii="Arial" w:hAnsi="Arial"/>
        <w:i/>
        <w:color w:val="266778" w:themeColor="accent5" w:themeShade="94"/>
        <w:sz w:val="22"/>
      </w:rPr>
      <w:tcPr>
        <w:tcBorders>
          <w:top w:val="nil"/>
          <w:left w:val="single" w:color="99D0DE" w:themeColor="accent5" w:themeTint="90" w:sz="4" w:space="0"/>
          <w:bottom w:val="nil"/>
          <w:right w:val="nil"/>
        </w:tcBorders>
        <w:shd w:val="clear" w:color="FFFFFF" w:fill="auto"/>
      </w:tc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12">
    <w:name w:val="Grid Table 7 Colorful - Accent 6"/>
    <w:autoRedefine/>
    <w:qFormat/>
    <w:uiPriority w:val="99"/>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firstRow">
      <w:rPr>
        <w:rFonts w:ascii="Arial" w:hAnsi="Arial"/>
        <w:b/>
        <w:color w:val="B05408" w:themeColor="accent6" w:themeShade="94"/>
        <w:sz w:val="22"/>
      </w:rPr>
      <w:tcPr>
        <w:tcBorders>
          <w:top w:val="nil"/>
          <w:left w:val="nil"/>
          <w:bottom w:val="single" w:color="FAC396" w:themeColor="accent6" w:themeTint="90" w:sz="4" w:space="0"/>
          <w:right w:val="nil"/>
        </w:tcBorders>
        <w:shd w:val="clear" w:color="FFFFFF" w:themeColor="light1" w:fill="FFFFFF" w:themeFill="light1"/>
      </w:tcPr>
    </w:tblStylePr>
    <w:tblStylePr w:type="lastRow">
      <w:rPr>
        <w:rFonts w:ascii="Arial" w:hAnsi="Arial"/>
        <w:b/>
        <w:color w:val="B05408" w:themeColor="accent6" w:themeShade="94"/>
        <w:sz w:val="22"/>
      </w:rPr>
      <w:tcPr>
        <w:tcBorders>
          <w:top w:val="single" w:color="FAC396" w:themeColor="accent6" w:themeTint="90" w:sz="4" w:space="0"/>
          <w:left w:val="nil"/>
          <w:bottom w:val="nil"/>
          <w:right w:val="nil"/>
        </w:tcBorders>
        <w:shd w:val="clear" w:color="FFFFFF" w:themeColor="light1" w:fill="FFFFFF" w:themeFill="light1"/>
      </w:tcPr>
    </w:tblStylePr>
    <w:tblStylePr w:type="firstCol">
      <w:pPr>
        <w:jc w:val="right"/>
      </w:pPr>
      <w:rPr>
        <w:rFonts w:ascii="Arial" w:hAnsi="Arial"/>
        <w:i/>
        <w:color w:val="B05408" w:themeColor="accent6" w:themeShade="94"/>
        <w:sz w:val="22"/>
      </w:rPr>
      <w:tcPr>
        <w:tcBorders>
          <w:top w:val="nil"/>
          <w:left w:val="nil"/>
          <w:bottom w:val="nil"/>
          <w:right w:val="single" w:color="FAC396" w:themeColor="accent6" w:themeTint="90" w:sz="4" w:space="0"/>
        </w:tcBorders>
        <w:shd w:val="clear" w:color="FFFFFF" w:fill="auto"/>
      </w:tcPr>
    </w:tblStylePr>
    <w:tblStylePr w:type="lastCol">
      <w:rPr>
        <w:rFonts w:ascii="Arial" w:hAnsi="Arial"/>
        <w:i/>
        <w:color w:val="B05408" w:themeColor="accent6" w:themeShade="94"/>
        <w:sz w:val="22"/>
      </w:rPr>
      <w:tcPr>
        <w:tcBorders>
          <w:top w:val="nil"/>
          <w:left w:val="single" w:color="FAC396" w:themeColor="accent6" w:themeTint="90" w:sz="4" w:space="0"/>
          <w:bottom w:val="nil"/>
          <w:right w:val="nil"/>
        </w:tcBorders>
        <w:shd w:val="clear" w:color="FFFFFF" w:fill="auto"/>
      </w:tcPr>
    </w:tblStylePr>
    <w:tblStylePr w:type="band1Vert">
      <w:tcPr>
        <w:shd w:val="clear" w:color="FDE9D9" w:themeColor="accent6" w:themeTint="34" w:fill="FDE9D9" w:themeFill="accent6" w:themeFillTint="34"/>
      </w:tcPr>
    </w:tblStyle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2Horz">
      <w:rPr>
        <w:rFonts w:ascii="Arial" w:hAnsi="Arial"/>
        <w:color w:val="B05408" w:themeColor="accent6" w:themeShade="94"/>
        <w:sz w:val="22"/>
      </w:rPr>
    </w:tblStylePr>
  </w:style>
  <w:style w:type="table" w:customStyle="1" w:styleId="113">
    <w:name w:val="List Table 1 Light"/>
    <w:autoRedefine/>
    <w:qFormat/>
    <w:uiPriority w:val="99"/>
    <w:pPr>
      <w:spacing w:after="0" w:line="240" w:lineRule="auto"/>
    </w:p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114">
    <w:name w:val="List Table 1 Light - Accent 1"/>
    <w:autoRedefine/>
    <w:qFormat/>
    <w:uiPriority w:val="99"/>
    <w:pPr>
      <w:spacing w:after="0" w:line="240" w:lineRule="auto"/>
    </w:pPr>
    <w:tblStylePr w:type="firstRow">
      <w:rPr>
        <w:b/>
        <w:color w:val="404040"/>
      </w:rPr>
      <w:tcPr>
        <w:tcBorders>
          <w:top w:val="nil"/>
          <w:left w:val="nil"/>
          <w:bottom w:val="single" w:color="4F81BD" w:themeColor="accent1" w:sz="4" w:space="0"/>
          <w:right w:val="nil"/>
        </w:tcBorders>
      </w:tcPr>
    </w:tblStylePr>
    <w:tblStylePr w:type="lastRow">
      <w:rPr>
        <w:b/>
        <w:color w:val="404040"/>
      </w:rPr>
      <w:tcPr>
        <w:tcBorders>
          <w:top w:val="single" w:color="4F81BD" w:themeColor="accen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2DFEE" w:themeColor="accent1" w:themeTint="40" w:fill="D2DFEE" w:themeFill="accent1" w:themeFillTint="40"/>
      </w:tcPr>
    </w:tblStylePr>
    <w:tblStylePr w:type="band1Horz">
      <w:tcPr>
        <w:shd w:val="clear" w:color="D2DFEE" w:themeColor="accent1" w:themeTint="40" w:fill="D2DFEE" w:themeFill="accent1" w:themeFillTint="40"/>
      </w:tcPr>
    </w:tblStylePr>
  </w:style>
  <w:style w:type="table" w:customStyle="1" w:styleId="115">
    <w:name w:val="List Table 1 Light - Accent 2"/>
    <w:autoRedefine/>
    <w:qFormat/>
    <w:uiPriority w:val="99"/>
    <w:pPr>
      <w:spacing w:after="0" w:line="240" w:lineRule="auto"/>
    </w:pPr>
    <w:tblStylePr w:type="firstRow">
      <w:rPr>
        <w:b/>
        <w:color w:val="404040"/>
      </w:rPr>
      <w:tcPr>
        <w:tcBorders>
          <w:top w:val="nil"/>
          <w:left w:val="nil"/>
          <w:bottom w:val="single" w:color="C0504D" w:themeColor="accent2" w:sz="4" w:space="0"/>
          <w:right w:val="nil"/>
        </w:tcBorders>
      </w:tcPr>
    </w:tblStylePr>
    <w:tblStylePr w:type="lastRow">
      <w:rPr>
        <w:b/>
        <w:color w:val="404040"/>
      </w:rPr>
      <w:tcPr>
        <w:tcBorders>
          <w:top w:val="single" w:color="C0504D" w:themeColor="accent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FD3D2" w:themeColor="accent2" w:themeTint="40" w:fill="EFD3D2" w:themeFill="accent2" w:themeFillTint="40"/>
      </w:tcPr>
    </w:tblStylePr>
    <w:tblStylePr w:type="band1Horz">
      <w:tcPr>
        <w:shd w:val="clear" w:color="EFD3D2" w:themeColor="accent2" w:themeTint="40" w:fill="EFD3D2" w:themeFill="accent2" w:themeFillTint="40"/>
      </w:tcPr>
    </w:tblStylePr>
  </w:style>
  <w:style w:type="table" w:customStyle="1" w:styleId="116">
    <w:name w:val="List Table 1 Light - Accent 3"/>
    <w:autoRedefine/>
    <w:qFormat/>
    <w:uiPriority w:val="99"/>
    <w:pPr>
      <w:spacing w:after="0" w:line="240" w:lineRule="auto"/>
    </w:pPr>
    <w:tblStylePr w:type="firstRow">
      <w:rPr>
        <w:b/>
        <w:color w:val="404040"/>
      </w:rPr>
      <w:tcPr>
        <w:tcBorders>
          <w:top w:val="nil"/>
          <w:left w:val="nil"/>
          <w:bottom w:val="single" w:color="9BBB59" w:themeColor="accent3" w:sz="4" w:space="0"/>
          <w:right w:val="nil"/>
        </w:tcBorders>
      </w:tcPr>
    </w:tblStylePr>
    <w:tblStylePr w:type="lastRow">
      <w:rPr>
        <w:b/>
        <w:color w:val="404040"/>
      </w:rPr>
      <w:tcPr>
        <w:tcBorders>
          <w:top w:val="single" w:color="9BBB59" w:themeColor="accent3"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5EDD5" w:themeColor="accent3" w:themeTint="40" w:fill="E5EDD5" w:themeFill="accent3" w:themeFillTint="40"/>
      </w:tcPr>
    </w:tblStylePr>
    <w:tblStylePr w:type="band1Horz">
      <w:tcPr>
        <w:shd w:val="clear" w:color="E5EDD5" w:themeColor="accent3" w:themeTint="40" w:fill="E5EDD5" w:themeFill="accent3" w:themeFillTint="40"/>
      </w:tcPr>
    </w:tblStylePr>
  </w:style>
  <w:style w:type="table" w:customStyle="1" w:styleId="117">
    <w:name w:val="List Table 1 Light - Accent 4"/>
    <w:autoRedefine/>
    <w:qFormat/>
    <w:uiPriority w:val="99"/>
    <w:pPr>
      <w:spacing w:after="0" w:line="240" w:lineRule="auto"/>
    </w:pPr>
    <w:tblStylePr w:type="firstRow">
      <w:rPr>
        <w:b/>
        <w:color w:val="404040"/>
      </w:rPr>
      <w:tcPr>
        <w:tcBorders>
          <w:top w:val="nil"/>
          <w:left w:val="nil"/>
          <w:bottom w:val="single" w:color="8064A2" w:themeColor="accent4" w:sz="4" w:space="0"/>
          <w:right w:val="nil"/>
        </w:tcBorders>
      </w:tcPr>
    </w:tblStylePr>
    <w:tblStylePr w:type="lastRow">
      <w:rPr>
        <w:b/>
        <w:color w:val="404040"/>
      </w:rPr>
      <w:tcPr>
        <w:tcBorders>
          <w:top w:val="single" w:color="8064A2" w:themeColor="accent4"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FD8E7" w:themeColor="accent4" w:themeTint="40" w:fill="DFD8E7" w:themeFill="accent4" w:themeFillTint="40"/>
      </w:tcPr>
    </w:tblStylePr>
    <w:tblStylePr w:type="band1Horz">
      <w:tcPr>
        <w:shd w:val="clear" w:color="DFD8E7" w:themeColor="accent4" w:themeTint="40" w:fill="DFD8E7" w:themeFill="accent4" w:themeFillTint="40"/>
      </w:tcPr>
    </w:tblStylePr>
  </w:style>
  <w:style w:type="table" w:customStyle="1" w:styleId="118">
    <w:name w:val="List Table 1 Light - Accent 5"/>
    <w:autoRedefine/>
    <w:qFormat/>
    <w:uiPriority w:val="99"/>
    <w:pPr>
      <w:spacing w:after="0" w:line="240" w:lineRule="auto"/>
    </w:pPr>
    <w:tblStylePr w:type="firstRow">
      <w:rPr>
        <w:b/>
        <w:color w:val="404040"/>
      </w:rPr>
      <w:tcPr>
        <w:tcBorders>
          <w:top w:val="nil"/>
          <w:left w:val="nil"/>
          <w:bottom w:val="single" w:color="4BACC6" w:themeColor="accent5" w:sz="4" w:space="0"/>
          <w:right w:val="nil"/>
        </w:tcBorders>
      </w:tcPr>
    </w:tblStylePr>
    <w:tblStylePr w:type="lastRow">
      <w:rPr>
        <w:b/>
        <w:color w:val="404040"/>
      </w:rPr>
      <w:tcPr>
        <w:tcBorders>
          <w:top w:val="single" w:color="4BACC6" w:themeColor="accent5"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1EAF0" w:themeColor="accent5" w:themeTint="40" w:fill="D1EAF0" w:themeFill="accent5" w:themeFillTint="40"/>
      </w:tcPr>
    </w:tblStylePr>
    <w:tblStylePr w:type="band1Horz">
      <w:tcPr>
        <w:shd w:val="clear" w:color="D1EAF0" w:themeColor="accent5" w:themeTint="40" w:fill="D1EAF0" w:themeFill="accent5" w:themeFillTint="40"/>
      </w:tcPr>
    </w:tblStylePr>
  </w:style>
  <w:style w:type="table" w:customStyle="1" w:styleId="119">
    <w:name w:val="List Table 1 Light - Accent 6"/>
    <w:autoRedefine/>
    <w:qFormat/>
    <w:uiPriority w:val="99"/>
    <w:pPr>
      <w:spacing w:after="0" w:line="240" w:lineRule="auto"/>
    </w:pPr>
    <w:tblStylePr w:type="firstRow">
      <w:rPr>
        <w:b/>
        <w:color w:val="404040"/>
      </w:rPr>
      <w:tcPr>
        <w:tcBorders>
          <w:top w:val="nil"/>
          <w:left w:val="nil"/>
          <w:bottom w:val="single" w:color="F79646" w:themeColor="accent6" w:sz="4" w:space="0"/>
          <w:right w:val="nil"/>
        </w:tcBorders>
      </w:tcPr>
    </w:tblStylePr>
    <w:tblStylePr w:type="lastRow">
      <w:rPr>
        <w:b/>
        <w:color w:val="404040"/>
      </w:rPr>
      <w:tcPr>
        <w:tcBorders>
          <w:top w:val="single" w:color="F79646" w:themeColor="accent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CE4D0" w:themeColor="accent6" w:themeTint="40" w:fill="FCE4D0" w:themeFill="accent6" w:themeFillTint="40"/>
      </w:tcPr>
    </w:tblStylePr>
    <w:tblStylePr w:type="band1Horz">
      <w:tcPr>
        <w:shd w:val="clear" w:color="FCE4D0" w:themeColor="accent6" w:themeTint="40" w:fill="FCE4D0" w:themeFill="accent6" w:themeFillTint="40"/>
      </w:tcPr>
    </w:tblStylePr>
  </w:style>
  <w:style w:type="table" w:customStyle="1" w:styleId="120">
    <w:name w:val="List Table 2"/>
    <w:autoRedefine/>
    <w:qFormat/>
    <w:uiPriority w:val="99"/>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21">
    <w:name w:val="List Table 2 - Accent 1"/>
    <w:autoRedefine/>
    <w:qFormat/>
    <w:uiPriority w:val="99"/>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fir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la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22">
    <w:name w:val="List Table 2 - Accent 2"/>
    <w:autoRedefine/>
    <w:qFormat/>
    <w:uiPriority w:val="99"/>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fir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la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23">
    <w:name w:val="List Table 2 - Accent 3"/>
    <w:autoRedefine/>
    <w:qFormat/>
    <w:uiPriority w:val="99"/>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fir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la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24">
    <w:name w:val="List Table 2 - Accent 4"/>
    <w:autoRedefine/>
    <w:qFormat/>
    <w:uiPriority w:val="99"/>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fir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la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25">
    <w:name w:val="List Table 2 - Accent 5"/>
    <w:autoRedefine/>
    <w:qFormat/>
    <w:uiPriority w:val="99"/>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fir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la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26">
    <w:name w:val="List Table 2 - Accent 6"/>
    <w:autoRedefine/>
    <w:qFormat/>
    <w:uiPriority w:val="99"/>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fir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la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27">
    <w:name w:val="List Table 3"/>
    <w:autoRedefine/>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128">
    <w:name w:val="List Table 3 - Accent 1"/>
    <w:autoRedefine/>
    <w:qFormat/>
    <w:uiPriority w:val="99"/>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band1Horz">
      <w:rPr>
        <w:rFonts w:ascii="Arial" w:hAnsi="Arial"/>
        <w:color w:val="404040"/>
        <w:sz w:val="22"/>
      </w:rPr>
      <w:tcPr>
        <w:tcBorders>
          <w:top w:val="single" w:color="4F81BD" w:themeColor="accent1" w:sz="4" w:space="0"/>
          <w:bottom w:val="single" w:color="4F81BD" w:themeColor="accent1" w:sz="4" w:space="0"/>
        </w:tcBorders>
      </w:tcPr>
    </w:tblStylePr>
  </w:style>
  <w:style w:type="table" w:customStyle="1" w:styleId="129">
    <w:name w:val="List Table 3 - Accent 2"/>
    <w:autoRedefine/>
    <w:qFormat/>
    <w:uiPriority w:val="99"/>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firstRow">
      <w:rPr>
        <w:rFonts w:ascii="Arial" w:hAnsi="Arial"/>
        <w:b/>
        <w:color w:val="FFFFFF"/>
        <w:sz w:val="22"/>
      </w:rPr>
      <w:tcPr>
        <w:shd w:val="clear" w:color="D99795" w:themeColor="accent2" w:themeTint="97" w:fill="D997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style>
  <w:style w:type="table" w:customStyle="1" w:styleId="130">
    <w:name w:val="List Table 3 - Accent 3"/>
    <w:autoRedefine/>
    <w:qFormat/>
    <w:uiPriority w:val="99"/>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firstRow">
      <w:rPr>
        <w:rFonts w:ascii="Arial" w:hAnsi="Arial"/>
        <w:b/>
        <w:color w:val="FFFFFF"/>
        <w:sz w:val="22"/>
      </w:rPr>
      <w:tcPr>
        <w:shd w:val="clear" w:color="C3D69C" w:themeColor="accent3" w:themeTint="98" w:fill="C3D69C"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style>
  <w:style w:type="table" w:customStyle="1" w:styleId="131">
    <w:name w:val="List Table 3 - Accent 4"/>
    <w:autoRedefine/>
    <w:qFormat/>
    <w:uiPriority w:val="99"/>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firstRow">
      <w:rPr>
        <w:rFonts w:ascii="Arial" w:hAnsi="Arial"/>
        <w:b/>
        <w:color w:val="FFFFFF"/>
        <w:sz w:val="22"/>
      </w:r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style>
  <w:style w:type="table" w:customStyle="1" w:styleId="132">
    <w:name w:val="List Table 3 - Accent 5"/>
    <w:autoRedefine/>
    <w:qFormat/>
    <w:uiPriority w:val="99"/>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firstRow">
      <w:rPr>
        <w:rFonts w:ascii="Arial" w:hAnsi="Arial"/>
        <w:b/>
        <w:color w:val="FFFFFF"/>
        <w:sz w:val="22"/>
      </w:r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style>
  <w:style w:type="table" w:customStyle="1" w:styleId="133">
    <w:name w:val="List Table 3 - Accent 6"/>
    <w:autoRedefine/>
    <w:qFormat/>
    <w:uiPriority w:val="99"/>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firstRow">
      <w:rPr>
        <w:rFonts w:ascii="Arial" w:hAnsi="Arial"/>
        <w:b/>
        <w:color w:val="FFFFFF"/>
        <w:sz w:val="22"/>
      </w:r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style>
  <w:style w:type="table" w:customStyle="1" w:styleId="134">
    <w:name w:val="List Table 4"/>
    <w:autoRedefine/>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35">
    <w:name w:val="List Table 4 - Accent 1"/>
    <w:autoRedefine/>
    <w:qFormat/>
    <w:uiPriority w:val="99"/>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36">
    <w:name w:val="List Table 4 - Accent 2"/>
    <w:autoRedefine/>
    <w:qFormat/>
    <w:uiPriority w:val="99"/>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firstRow">
      <w:rPr>
        <w:rFonts w:ascii="Arial" w:hAnsi="Arial"/>
        <w:b/>
        <w:color w:val="FFFFFF"/>
        <w:sz w:val="22"/>
      </w:r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37">
    <w:name w:val="List Table 4 - Accent 3"/>
    <w:qFormat/>
    <w:uiPriority w:val="99"/>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firstRow">
      <w:rPr>
        <w:rFonts w:ascii="Arial" w:hAnsi="Arial"/>
        <w:b/>
        <w:color w:val="FFFFFF"/>
        <w:sz w:val="22"/>
      </w:r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38">
    <w:name w:val="List Table 4 - Accent 4"/>
    <w:autoRedefine/>
    <w:qFormat/>
    <w:uiPriority w:val="99"/>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firstRow">
      <w:rPr>
        <w:rFonts w:ascii="Arial" w:hAnsi="Arial"/>
        <w:b/>
        <w:color w:val="FFFFFF"/>
        <w:sz w:val="22"/>
      </w:r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39">
    <w:name w:val="List Table 4 - Accent 5"/>
    <w:autoRedefine/>
    <w:qFormat/>
    <w:uiPriority w:val="99"/>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firstRow">
      <w:rPr>
        <w:rFonts w:ascii="Arial" w:hAnsi="Arial"/>
        <w:b/>
        <w:color w:val="FFFFFF"/>
        <w:sz w:val="22"/>
      </w:r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40">
    <w:name w:val="List Table 4 - Accent 6"/>
    <w:autoRedefine/>
    <w:qFormat/>
    <w:uiPriority w:val="99"/>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firstRow">
      <w:rPr>
        <w:rFonts w:ascii="Arial" w:hAnsi="Arial"/>
        <w:b/>
        <w:color w:val="FFFFFF"/>
        <w:sz w:val="22"/>
      </w:r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41">
    <w:name w:val="List Table 5 Dark"/>
    <w:autoRedefine/>
    <w:qFormat/>
    <w:uiPriority w:val="99"/>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142">
    <w:name w:val="List Table 5 Dark - Accent 1"/>
    <w:autoRedefine/>
    <w:qFormat/>
    <w:uiPriority w:val="99"/>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firstRow">
      <w:rPr>
        <w:rFonts w:ascii="Arial" w:hAnsi="Arial"/>
        <w:b/>
        <w:color w:val="FFFFFF" w:themeColor="light1"/>
        <w:sz w:val="22"/>
        <w14:textFill>
          <w14:solidFill>
            <w14:schemeClr w14:val="lt1"/>
          </w14:solidFill>
        </w14:textFill>
      </w:rPr>
      <w:tcPr>
        <w:tcBorders>
          <w:top w:val="single" w:color="4F81BD" w:themeColor="accent1" w:sz="32" w:space="0"/>
          <w:bottom w:val="single" w:color="FFFFFF" w:themeColor="light1" w:sz="12" w:space="0"/>
        </w:tcBorders>
        <w:shd w:val="clear" w:color="4F81BD" w:themeColor="accent1" w:fill="4F81BD" w:themeFill="accent1"/>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lastCol">
      <w:tcPr>
        <w:tcBorders>
          <w:left w:val="single" w:color="FFFFFF" w:themeColor="light1" w:sz="4" w:space="0"/>
          <w:right w:val="single" w:color="4F81BD" w:themeColor="accent1" w:sz="32" w:space="0"/>
        </w:tcBorders>
      </w:tcPr>
    </w:tblStylePr>
    <w:tblStylePr w:type="band1Vert">
      <w:tcPr>
        <w:tcBorders>
          <w:left w:val="single" w:color="FFFFFF" w:themeColor="light1" w:sz="4" w:space="0"/>
          <w:right w:val="single" w:color="FFFFFF" w:themeColor="light1" w:sz="4" w:space="0"/>
        </w:tcBorders>
        <w:shd w:val="clear" w:color="4F81BD" w:themeColor="accent1" w:fill="4F81BD" w:themeFill="accent1"/>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4F81BD" w:themeColor="accent1" w:fill="4F81BD" w:themeFill="accent1"/>
      </w:tcPr>
    </w:tblStylePr>
    <w:tblStylePr w:type="band2Horz">
      <w:tcPr>
        <w:tcBorders>
          <w:top w:val="single" w:color="FFFFFF" w:themeColor="light1" w:sz="4" w:space="0"/>
          <w:bottom w:val="single" w:color="FFFFFF" w:themeColor="light1" w:sz="4" w:space="0"/>
        </w:tcBorders>
        <w:shd w:val="clear" w:color="4F81BD" w:themeColor="accent1" w:fill="4F81BD" w:themeFill="accent1"/>
      </w:tcPr>
    </w:tblStylePr>
  </w:style>
  <w:style w:type="table" w:customStyle="1" w:styleId="143">
    <w:name w:val="List Table 5 Dark - Accent 2"/>
    <w:autoRedefine/>
    <w:qFormat/>
    <w:uiPriority w:val="99"/>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firstRow">
      <w:rPr>
        <w:rFonts w:ascii="Arial" w:hAnsi="Arial"/>
        <w:b/>
        <w:color w:val="FFFFFF" w:themeColor="light1"/>
        <w:sz w:val="22"/>
        <w14:textFill>
          <w14:solidFill>
            <w14:schemeClr w14:val="lt1"/>
          </w14:solidFill>
        </w14:textFill>
      </w:rPr>
      <w:tcPr>
        <w:tcBorders>
          <w:top w:val="single" w:color="D99795" w:themeColor="accent2" w:themeTint="97" w:sz="32" w:space="0"/>
          <w:bottom w:val="single" w:color="FFFFFF" w:themeColor="light1" w:sz="12" w:space="0"/>
        </w:tcBorders>
        <w:shd w:val="clear" w:color="D99795" w:themeColor="accent2" w:themeTint="97" w:fill="D99795" w:themeFill="accent2" w:themeFillTint="97"/>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lastCol">
      <w:tcPr>
        <w:tcBorders>
          <w:left w:val="single" w:color="FFFFFF" w:themeColor="light1" w:sz="4" w:space="0"/>
          <w:right w:val="single" w:color="D99795" w:themeColor="accent2" w:themeTint="97" w:sz="32" w:space="0"/>
        </w:tcBorders>
      </w:tcPr>
    </w:tblStylePr>
    <w:tblStylePr w:type="band1Vert">
      <w:tcPr>
        <w:tcBorders>
          <w:left w:val="single" w:color="FFFFFF" w:themeColor="light1" w:sz="4" w:space="0"/>
          <w:right w:val="single" w:color="FFFFFF" w:themeColor="light1" w:sz="4" w:space="0"/>
        </w:tcBorders>
        <w:shd w:val="clear" w:color="D99795" w:themeColor="accent2" w:themeTint="97" w:fill="D99795" w:themeFill="accent2" w:themeFillTint="97"/>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tblStylePr w:type="band2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style>
  <w:style w:type="table" w:customStyle="1" w:styleId="144">
    <w:name w:val="List Table 5 Dark - Accent 3"/>
    <w:autoRedefine/>
    <w:qFormat/>
    <w:uiPriority w:val="99"/>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firstRow">
      <w:rPr>
        <w:rFonts w:ascii="Arial" w:hAnsi="Arial"/>
        <w:b/>
        <w:color w:val="FFFFFF" w:themeColor="light1"/>
        <w:sz w:val="22"/>
        <w14:textFill>
          <w14:solidFill>
            <w14:schemeClr w14:val="lt1"/>
          </w14:solidFill>
        </w14:textFill>
      </w:rPr>
      <w:tcPr>
        <w:tcBorders>
          <w:top w:val="single" w:color="C3D69C" w:themeColor="accent3" w:themeTint="98" w:sz="32" w:space="0"/>
          <w:bottom w:val="single" w:color="FFFFFF" w:themeColor="light1" w:sz="12" w:space="0"/>
        </w:tcBorders>
        <w:shd w:val="clear" w:color="C3D69C" w:themeColor="accent3" w:themeTint="98" w:fill="C3D69C" w:themeFill="accent3"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lastCol">
      <w:tcPr>
        <w:tcBorders>
          <w:left w:val="single" w:color="FFFFFF" w:themeColor="light1" w:sz="4" w:space="0"/>
          <w:right w:val="single" w:color="C3D69C" w:themeColor="accent3" w:themeTint="98" w:sz="32" w:space="0"/>
        </w:tcBorders>
      </w:tcPr>
    </w:tblStylePr>
    <w:tblStylePr w:type="band1Vert">
      <w:tcPr>
        <w:tcBorders>
          <w:left w:val="single" w:color="FFFFFF" w:themeColor="light1" w:sz="4" w:space="0"/>
          <w:right w:val="single" w:color="FFFFFF" w:themeColor="light1" w:sz="4" w:space="0"/>
        </w:tcBorders>
        <w:shd w:val="clear" w:color="C3D69C" w:themeColor="accent3" w:themeTint="98" w:fill="C3D69C" w:themeFill="accent3"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tblStylePr w:type="band2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style>
  <w:style w:type="table" w:customStyle="1" w:styleId="145">
    <w:name w:val="List Table 5 Dark - Accent 4"/>
    <w:autoRedefine/>
    <w:qFormat/>
    <w:uiPriority w:val="99"/>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firstRow">
      <w:rPr>
        <w:rFonts w:ascii="Arial" w:hAnsi="Arial"/>
        <w:b/>
        <w:color w:val="FFFFFF" w:themeColor="light1"/>
        <w:sz w:val="22"/>
        <w14:textFill>
          <w14:solidFill>
            <w14:schemeClr w14:val="lt1"/>
          </w14:solidFill>
        </w14:textFill>
      </w:rPr>
      <w:tcPr>
        <w:tcBorders>
          <w:top w:val="single" w:color="B2A1C6" w:themeColor="accent4" w:themeTint="9A" w:sz="32" w:space="0"/>
          <w:bottom w:val="single" w:color="FFFFFF" w:themeColor="light1" w:sz="12" w:space="0"/>
        </w:tcBorders>
        <w:shd w:val="clear" w:color="B2A1C6" w:themeColor="accent4" w:themeTint="9A" w:fill="B2A1C6" w:themeFill="accent4"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lastCol">
      <w:tcPr>
        <w:tcBorders>
          <w:left w:val="single" w:color="FFFFFF" w:themeColor="light1" w:sz="4" w:space="0"/>
          <w:right w:val="single" w:color="B2A1C6" w:themeColor="accent4" w:themeTint="9A" w:sz="32" w:space="0"/>
        </w:tcBorders>
      </w:tcPr>
    </w:tblStylePr>
    <w:tblStylePr w:type="band1Vert">
      <w:tcPr>
        <w:tcBorders>
          <w:left w:val="single" w:color="FFFFFF" w:themeColor="light1" w:sz="4" w:space="0"/>
          <w:right w:val="single" w:color="FFFFFF" w:themeColor="light1" w:sz="4" w:space="0"/>
        </w:tcBorders>
        <w:shd w:val="clear" w:color="B2A1C6" w:themeColor="accent4" w:themeTint="9A" w:fill="B2A1C6" w:themeFill="accent4"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tblStylePr w:type="band2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style>
  <w:style w:type="table" w:customStyle="1" w:styleId="146">
    <w:name w:val="List Table 5 Dark - Accent 5"/>
    <w:autoRedefine/>
    <w:qFormat/>
    <w:uiPriority w:val="99"/>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firstRow">
      <w:rPr>
        <w:rFonts w:ascii="Arial" w:hAnsi="Arial"/>
        <w:b/>
        <w:color w:val="FFFFFF" w:themeColor="light1"/>
        <w:sz w:val="22"/>
        <w14:textFill>
          <w14:solidFill>
            <w14:schemeClr w14:val="lt1"/>
          </w14:solidFill>
        </w14:textFill>
      </w:rPr>
      <w:tcPr>
        <w:tcBorders>
          <w:top w:val="single" w:color="92CCDC" w:themeColor="accent5" w:themeTint="9A" w:sz="32" w:space="0"/>
          <w:bottom w:val="single" w:color="FFFFFF" w:themeColor="light1" w:sz="12" w:space="0"/>
        </w:tcBorders>
        <w:shd w:val="clear" w:color="92CCDC" w:themeColor="accent5" w:themeTint="9A" w:fill="92CCDC" w:themeFill="accent5"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lastCol">
      <w:tcPr>
        <w:tcBorders>
          <w:left w:val="single" w:color="FFFFFF" w:themeColor="light1" w:sz="4" w:space="0"/>
          <w:right w:val="single" w:color="92CCDC" w:themeColor="accent5" w:themeTint="9A" w:sz="32" w:space="0"/>
        </w:tcBorders>
      </w:tcPr>
    </w:tblStylePr>
    <w:tblStylePr w:type="band1Vert">
      <w:tcPr>
        <w:tcBorders>
          <w:left w:val="single" w:color="FFFFFF" w:themeColor="light1" w:sz="4" w:space="0"/>
          <w:right w:val="single" w:color="FFFFFF" w:themeColor="light1" w:sz="4" w:space="0"/>
        </w:tcBorders>
        <w:shd w:val="clear" w:color="92CCDC" w:themeColor="accent5" w:themeTint="9A" w:fill="92CCDC" w:themeFill="accent5"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tblStylePr w:type="band2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style>
  <w:style w:type="table" w:customStyle="1" w:styleId="147">
    <w:name w:val="List Table 5 Dark - Accent 6"/>
    <w:autoRedefine/>
    <w:qFormat/>
    <w:uiPriority w:val="99"/>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firstRow">
      <w:rPr>
        <w:rFonts w:ascii="Arial" w:hAnsi="Arial"/>
        <w:b/>
        <w:color w:val="FFFFFF" w:themeColor="light1"/>
        <w:sz w:val="22"/>
        <w14:textFill>
          <w14:solidFill>
            <w14:schemeClr w14:val="lt1"/>
          </w14:solidFill>
        </w14:textFill>
      </w:rPr>
      <w:tcPr>
        <w:tcBorders>
          <w:top w:val="single" w:color="FAC090" w:themeColor="accent6" w:themeTint="98" w:sz="32" w:space="0"/>
          <w:bottom w:val="single" w:color="FFFFFF" w:themeColor="light1" w:sz="12" w:space="0"/>
        </w:tcBorders>
        <w:shd w:val="clear" w:color="FAC090" w:themeColor="accent6" w:themeTint="98" w:fill="FAC090" w:themeFill="accent6"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lastCol">
      <w:tcPr>
        <w:tcBorders>
          <w:left w:val="single" w:color="FFFFFF" w:themeColor="light1" w:sz="4" w:space="0"/>
          <w:right w:val="single" w:color="FAC090" w:themeColor="accent6" w:themeTint="98" w:sz="32" w:space="0"/>
        </w:tcBorders>
      </w:tcPr>
    </w:tblStylePr>
    <w:tblStylePr w:type="band1Vert">
      <w:tcPr>
        <w:tcBorders>
          <w:left w:val="single" w:color="FFFFFF" w:themeColor="light1" w:sz="4" w:space="0"/>
          <w:right w:val="single" w:color="FFFFFF" w:themeColor="light1" w:sz="4" w:space="0"/>
        </w:tcBorders>
        <w:shd w:val="clear" w:color="FAC090" w:themeColor="accent6" w:themeTint="98" w:fill="FAC090" w:themeFill="accent6"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tblStylePr w:type="band2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style>
  <w:style w:type="table" w:customStyle="1" w:styleId="148">
    <w:name w:val="List Table 6 Colorful"/>
    <w:autoRedefine/>
    <w:qFormat/>
    <w:uiPriority w:val="99"/>
    <w:pPr>
      <w:spacing w:after="0" w:line="240" w:lineRule="auto"/>
    </w:pPr>
    <w:tblPr>
      <w:tblBorders>
        <w:top w:val="single" w:color="7E7E7E" w:themeColor="text1" w:themeTint="80" w:sz="4" w:space="0"/>
        <w:bottom w:val="single" w:color="7E7E7E" w:themeColor="text1" w:themeTint="80" w:sz="4" w:space="0"/>
      </w:tblBorders>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149">
    <w:name w:val="List Table 6 Colorful - Accent 1"/>
    <w:autoRedefine/>
    <w:qFormat/>
    <w:uiPriority w:val="99"/>
    <w:pPr>
      <w:spacing w:after="0" w:line="240" w:lineRule="auto"/>
    </w:pPr>
    <w:tblPr>
      <w:tblBorders>
        <w:top w:val="single" w:color="4F81BD" w:themeColor="accent1" w:sz="4" w:space="0"/>
        <w:bottom w:val="single" w:color="4F81BD" w:themeColor="accent1" w:sz="4" w:space="0"/>
      </w:tblBorders>
    </w:tblPr>
    <w:tblStylePr w:type="firstRow">
      <w:rPr>
        <w:b/>
        <w:color w:val="2A4B71" w:themeColor="accent1" w:themeShade="94"/>
      </w:rPr>
      <w:tcPr>
        <w:tcBorders>
          <w:bottom w:val="single" w:color="4F81BD" w:themeColor="accent1" w:sz="4" w:space="0"/>
        </w:tcBorders>
      </w:tcPr>
    </w:tblStylePr>
    <w:tblStylePr w:type="lastRow">
      <w:rPr>
        <w:b/>
        <w:color w:val="2A4B71" w:themeColor="accent1" w:themeShade="94"/>
      </w:rPr>
      <w:tcPr>
        <w:tcBorders>
          <w:top w:val="single" w:color="4F81BD" w:themeColor="accent1" w:sz="4" w:space="0"/>
        </w:tcBorders>
      </w:tcPr>
    </w:tblStylePr>
    <w:tblStylePr w:type="firstCol">
      <w:rPr>
        <w:b/>
        <w:color w:val="2A4B71" w:themeColor="accent1" w:themeShade="94"/>
      </w:rPr>
    </w:tblStylePr>
    <w:tblStylePr w:type="lastCol">
      <w:rPr>
        <w:b/>
        <w:color w:val="2A4B71" w:themeColor="accent1" w:themeShade="94"/>
      </w:r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50">
    <w:name w:val="List Table 6 Colorful - Accent 2"/>
    <w:autoRedefine/>
    <w:qFormat/>
    <w:uiPriority w:val="99"/>
    <w:pPr>
      <w:spacing w:after="0" w:line="240" w:lineRule="auto"/>
    </w:pPr>
    <w:tblPr>
      <w:tblBorders>
        <w:top w:val="single" w:color="D99795" w:themeColor="accent2" w:themeTint="97" w:sz="4" w:space="0"/>
        <w:bottom w:val="single" w:color="D99795" w:themeColor="accent2" w:themeTint="97" w:sz="4" w:space="0"/>
      </w:tblBorders>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51">
    <w:name w:val="List Table 6 Colorful - Accent 3"/>
    <w:autoRedefine/>
    <w:qFormat/>
    <w:uiPriority w:val="99"/>
    <w:pPr>
      <w:spacing w:after="0" w:line="240" w:lineRule="auto"/>
    </w:pPr>
    <w:tblPr>
      <w:tblBorders>
        <w:top w:val="single" w:color="C3D69C" w:themeColor="accent3" w:themeTint="98" w:sz="4" w:space="0"/>
        <w:bottom w:val="single" w:color="C3D69C" w:themeColor="accent3" w:themeTint="98" w:sz="4" w:space="0"/>
      </w:tblBorders>
    </w:tbl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tblStylePr w:type="firstCol">
      <w:rPr>
        <w:b/>
        <w:color w:val="C3D69B" w:themeColor="accent3" w:themeTint="99"/>
        <w14:textFill>
          <w14:solidFill>
            <w14:schemeClr w14:val="accent3">
              <w14:lumMod w14:val="60000"/>
              <w14:lumOff w14:val="40000"/>
            </w14:schemeClr>
          </w14:solidFill>
        </w14:textFill>
      </w:rPr>
    </w:tblStylePr>
    <w:tblStylePr w:type="lastCol">
      <w:rPr>
        <w:b/>
        <w:color w:val="C3D69B" w:themeColor="accent3" w:themeTint="99"/>
        <w14:textFill>
          <w14:solidFill>
            <w14:schemeClr w14:val="accent3">
              <w14:lumMod w14:val="60000"/>
              <w14:lumOff w14:val="40000"/>
            </w14:schemeClr>
          </w14:solidFill>
        </w14:textFill>
      </w:r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52">
    <w:name w:val="List Table 6 Colorful - Accent 4"/>
    <w:autoRedefine/>
    <w:qFormat/>
    <w:uiPriority w:val="99"/>
    <w:pPr>
      <w:spacing w:after="0" w:line="240" w:lineRule="auto"/>
    </w:pPr>
    <w:tblPr>
      <w:tblBorders>
        <w:top w:val="single" w:color="B2A1C6" w:themeColor="accent4" w:themeTint="9A" w:sz="4" w:space="0"/>
        <w:bottom w:val="single" w:color="B2A1C6" w:themeColor="accent4" w:themeTint="9A" w:sz="4" w:space="0"/>
      </w:tblBorders>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53">
    <w:name w:val="List Table 6 Colorful - Accent 5"/>
    <w:autoRedefine/>
    <w:qFormat/>
    <w:uiPriority w:val="99"/>
    <w:pPr>
      <w:spacing w:after="0" w:line="240" w:lineRule="auto"/>
    </w:pPr>
    <w:tblPr>
      <w:tblBorders>
        <w:top w:val="single" w:color="92CCDC" w:themeColor="accent5" w:themeTint="9A" w:sz="4" w:space="0"/>
        <w:bottom w:val="single" w:color="92CCDC" w:themeColor="accent5" w:themeTint="9A" w:sz="4" w:space="0"/>
      </w:tblBorders>
    </w:tbl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tblStylePr w:type="firstCol">
      <w:rPr>
        <w:b/>
        <w:color w:val="93CDDD" w:themeColor="accent5" w:themeTint="99"/>
        <w14:textFill>
          <w14:solidFill>
            <w14:schemeClr w14:val="accent5">
              <w14:lumMod w14:val="60000"/>
              <w14:lumOff w14:val="40000"/>
            </w14:schemeClr>
          </w14:solidFill>
        </w14:textFill>
      </w:rPr>
    </w:tblStylePr>
    <w:tblStylePr w:type="lastCol">
      <w:rPr>
        <w:b/>
        <w:color w:val="93CDDD" w:themeColor="accent5" w:themeTint="99"/>
        <w14:textFill>
          <w14:solidFill>
            <w14:schemeClr w14:val="accent5">
              <w14:lumMod w14:val="60000"/>
              <w14:lumOff w14:val="40000"/>
            </w14:schemeClr>
          </w14:solidFill>
        </w14:textFill>
      </w:r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54">
    <w:name w:val="List Table 6 Colorful - Accent 6"/>
    <w:autoRedefine/>
    <w:qFormat/>
    <w:uiPriority w:val="99"/>
    <w:pPr>
      <w:spacing w:after="0" w:line="240" w:lineRule="auto"/>
    </w:pPr>
    <w:tblPr>
      <w:tblBorders>
        <w:top w:val="single" w:color="FAC090" w:themeColor="accent6" w:themeTint="98" w:sz="4" w:space="0"/>
        <w:bottom w:val="single" w:color="FAC090" w:themeColor="accent6" w:themeTint="98" w:sz="4" w:space="0"/>
      </w:tblBorders>
    </w:tbl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tblStylePr w:type="firstCol">
      <w:rPr>
        <w:b/>
        <w:color w:val="FAC090" w:themeColor="accent6" w:themeTint="99"/>
        <w14:textFill>
          <w14:solidFill>
            <w14:schemeClr w14:val="accent6">
              <w14:lumMod w14:val="60000"/>
              <w14:lumOff w14:val="40000"/>
            </w14:schemeClr>
          </w14:solidFill>
        </w14:textFill>
      </w:rPr>
    </w:tblStylePr>
    <w:tblStylePr w:type="lastCol">
      <w:rPr>
        <w:b/>
        <w:color w:val="FAC090" w:themeColor="accent6" w:themeTint="99"/>
        <w14:textFill>
          <w14:solidFill>
            <w14:schemeClr w14:val="accent6">
              <w14:lumMod w14:val="60000"/>
              <w14:lumOff w14:val="40000"/>
            </w14:schemeClr>
          </w14:solidFill>
        </w14:textFill>
      </w:r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55">
    <w:name w:val="List Table 7 Colorful"/>
    <w:autoRedefine/>
    <w:qFormat/>
    <w:uiPriority w:val="99"/>
    <w:pPr>
      <w:spacing w:after="0" w:line="240" w:lineRule="auto"/>
    </w:pPr>
    <w:tblPr>
      <w:tblBorders>
        <w:right w:val="single" w:color="7E7E7E" w:themeColor="text1" w:themeTint="80" w:sz="4" w:space="0"/>
      </w:tblBorders>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56">
    <w:name w:val="List Table 7 Colorful - Accent 1"/>
    <w:autoRedefine/>
    <w:qFormat/>
    <w:uiPriority w:val="99"/>
    <w:pPr>
      <w:spacing w:after="0" w:line="240" w:lineRule="auto"/>
    </w:pPr>
    <w:tblPr>
      <w:tblBorders>
        <w:right w:val="single" w:color="4F81BD" w:themeColor="accent1" w:sz="4" w:space="0"/>
      </w:tblBorders>
    </w:tblPr>
    <w:tblStylePr w:type="firstRow">
      <w:rPr>
        <w:rFonts w:ascii="Arial" w:hAnsi="Arial"/>
        <w:i/>
        <w:color w:val="2A4B71" w:themeColor="accent1" w:themeShade="94"/>
        <w:sz w:val="22"/>
      </w:rPr>
      <w:tcPr>
        <w:tcBorders>
          <w:top w:val="nil"/>
          <w:left w:val="nil"/>
          <w:bottom w:val="single" w:color="4F81BD" w:themeColor="accent1" w:sz="4" w:space="0"/>
          <w:right w:val="nil"/>
        </w:tcBorders>
        <w:shd w:val="clear" w:color="FFFFFF" w:themeColor="light1" w:fill="FFFFFF" w:themeFill="light1"/>
      </w:tcPr>
    </w:tblStylePr>
    <w:tblStylePr w:type="lastRow">
      <w:rPr>
        <w:rFonts w:ascii="Arial" w:hAnsi="Arial"/>
        <w:i/>
        <w:color w:val="2A4B71" w:themeColor="accent1" w:themeShade="94"/>
        <w:sz w:val="22"/>
      </w:rPr>
      <w:tcPr>
        <w:tcBorders>
          <w:top w:val="single" w:color="4F81BD" w:themeColor="accent1" w:sz="4" w:space="0"/>
          <w:left w:val="nil"/>
          <w:bottom w:val="nil"/>
          <w:right w:val="nil"/>
        </w:tcBorders>
        <w:shd w:val="clear" w:color="FFFFFF" w:themeColor="light1" w:fill="FFFFFF" w:themeFill="light1"/>
      </w:tcPr>
    </w:tblStylePr>
    <w:tblStylePr w:type="firstCol">
      <w:pPr>
        <w:jc w:val="right"/>
      </w:pPr>
      <w:rPr>
        <w:rFonts w:ascii="Arial" w:hAnsi="Arial"/>
        <w:i/>
        <w:color w:val="2A4B71" w:themeColor="accent1" w:themeShade="94"/>
        <w:sz w:val="22"/>
      </w:rPr>
      <w:tcPr>
        <w:tcBorders>
          <w:top w:val="nil"/>
          <w:left w:val="nil"/>
          <w:bottom w:val="nil"/>
          <w:right w:val="single" w:color="4F81BD" w:themeColor="accent1" w:sz="4" w:space="0"/>
        </w:tcBorders>
        <w:shd w:val="clear" w:color="FFFFFF" w:fill="auto"/>
      </w:tcPr>
    </w:tblStylePr>
    <w:tblStylePr w:type="lastCol">
      <w:rPr>
        <w:rFonts w:ascii="Arial" w:hAnsi="Arial"/>
        <w:i/>
        <w:color w:val="2A4B71" w:themeColor="accent1" w:themeShade="94"/>
        <w:sz w:val="22"/>
      </w:rPr>
      <w:tcPr>
        <w:tcBorders>
          <w:top w:val="nil"/>
          <w:left w:val="single" w:color="4F81BD" w:themeColor="accent1" w:sz="4" w:space="0"/>
          <w:bottom w:val="nil"/>
          <w:right w:val="nil"/>
        </w:tcBorders>
        <w:shd w:val="clear" w:color="FFFFFF" w:fill="auto"/>
      </w:tc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57">
    <w:name w:val="List Table 7 Colorful - Accent 2"/>
    <w:autoRedefine/>
    <w:qFormat/>
    <w:uiPriority w:val="99"/>
    <w:pPr>
      <w:spacing w:after="0" w:line="240" w:lineRule="auto"/>
    </w:pPr>
    <w:tblPr>
      <w:tblBorders>
        <w:right w:val="single" w:color="D99795" w:themeColor="accent2" w:themeTint="97" w:sz="4" w:space="0"/>
      </w:tblBorders>
    </w:tblPr>
    <w:tblStylePr w:type="firstRow">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58">
    <w:name w:val="List Table 7 Colorful - Accent 3"/>
    <w:autoRedefine/>
    <w:qFormat/>
    <w:uiPriority w:val="99"/>
    <w:pPr>
      <w:spacing w:after="0" w:line="240" w:lineRule="auto"/>
    </w:pPr>
    <w:tblPr>
      <w:tblBorders>
        <w:right w:val="single" w:color="C3D69C" w:themeColor="accent3" w:themeTint="98" w:sz="4" w:space="0"/>
      </w:tblBorders>
    </w:tblPr>
    <w:tblStylePr w:type="firstRow">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single" w:color="C3D69C" w:themeColor="accent3" w:themeTint="98" w:sz="4" w:space="0"/>
          <w:right w:val="nil"/>
        </w:tcBorders>
        <w:shd w:val="clear" w:color="FFFFFF" w:themeColor="light1" w:fill="FFFFFF" w:themeFill="light1"/>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tcBorders>
          <w:top w:val="single" w:color="C3D69C" w:themeColor="accent3" w:themeTint="98" w:sz="4" w:space="0"/>
          <w:left w:val="nil"/>
          <w:bottom w:val="nil"/>
          <w:right w:val="nil"/>
        </w:tcBorders>
        <w:shd w:val="clear" w:color="FFFFFF" w:themeColor="light1" w:fill="FFFFFF" w:themeFill="light1"/>
      </w:tcPr>
    </w:tblStylePr>
    <w:tblStylePr w:type="firstCol">
      <w:pPr>
        <w:jc w:val="right"/>
      </w:pPr>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nil"/>
          <w:right w:val="single" w:color="C3D69C" w:themeColor="accent3" w:themeTint="98" w:sz="4" w:space="0"/>
        </w:tcBorders>
        <w:shd w:val="clear" w:color="FFFFFF" w:fill="auto"/>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single" w:color="C3D69C" w:themeColor="accent3" w:themeTint="98" w:sz="4" w:space="0"/>
          <w:bottom w:val="nil"/>
          <w:right w:val="nil"/>
        </w:tcBorders>
        <w:shd w:val="clear" w:color="FFFFFF" w:fill="auto"/>
      </w:tc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59">
    <w:name w:val="List Table 7 Colorful - Accent 4"/>
    <w:autoRedefine/>
    <w:qFormat/>
    <w:uiPriority w:val="99"/>
    <w:pPr>
      <w:spacing w:after="0" w:line="240" w:lineRule="auto"/>
    </w:pPr>
    <w:tblPr>
      <w:tblBorders>
        <w:right w:val="single" w:color="B2A1C6" w:themeColor="accent4" w:themeTint="9A" w:sz="4" w:space="0"/>
      </w:tblBorders>
    </w:tblPr>
    <w:tblStylePr w:type="firstRow">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60">
    <w:name w:val="List Table 7 Colorful - Accent 5"/>
    <w:autoRedefine/>
    <w:qFormat/>
    <w:uiPriority w:val="99"/>
    <w:pPr>
      <w:spacing w:after="0" w:line="240" w:lineRule="auto"/>
    </w:pPr>
    <w:tblPr>
      <w:tblBorders>
        <w:right w:val="single" w:color="92CCDC" w:themeColor="accent5" w:themeTint="9A" w:sz="4" w:space="0"/>
      </w:tblBorders>
    </w:tblPr>
    <w:tblStylePr w:type="firstRow">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single" w:color="92CCDC" w:themeColor="accent5" w:themeTint="9A" w:sz="4" w:space="0"/>
          <w:right w:val="nil"/>
        </w:tcBorders>
        <w:shd w:val="clear" w:color="FFFFFF" w:themeColor="light1" w:fill="FFFFFF" w:themeFill="light1"/>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tcBorders>
          <w:top w:val="single" w:color="92CCDC" w:themeColor="accent5" w:themeTint="9A" w:sz="4" w:space="0"/>
          <w:left w:val="nil"/>
          <w:bottom w:val="nil"/>
          <w:right w:val="nil"/>
        </w:tcBorders>
        <w:shd w:val="clear" w:color="FFFFFF" w:themeColor="light1" w:fill="FFFFFF" w:themeFill="light1"/>
      </w:tcPr>
    </w:tblStylePr>
    <w:tblStylePr w:type="firstCol">
      <w:pPr>
        <w:jc w:val="right"/>
      </w:pPr>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nil"/>
          <w:right w:val="single" w:color="92CCDC" w:themeColor="accent5" w:themeTint="9A" w:sz="4" w:space="0"/>
        </w:tcBorders>
        <w:shd w:val="clear" w:color="FFFFFF" w:fill="auto"/>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single" w:color="92CCDC" w:themeColor="accent5" w:themeTint="9A" w:sz="4" w:space="0"/>
          <w:bottom w:val="nil"/>
          <w:right w:val="nil"/>
        </w:tcBorders>
        <w:shd w:val="clear" w:color="FFFFFF" w:fill="auto"/>
      </w:tc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61">
    <w:name w:val="List Table 7 Colorful - Accent 6"/>
    <w:autoRedefine/>
    <w:qFormat/>
    <w:uiPriority w:val="99"/>
    <w:pPr>
      <w:spacing w:after="0" w:line="240" w:lineRule="auto"/>
    </w:pPr>
    <w:tblPr>
      <w:tblBorders>
        <w:right w:val="single" w:color="FAC090" w:themeColor="accent6" w:themeTint="98" w:sz="4" w:space="0"/>
      </w:tblBorders>
    </w:tblPr>
    <w:tblStylePr w:type="firstRow">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single" w:color="FAC090" w:themeColor="accent6" w:themeTint="98" w:sz="4" w:space="0"/>
          <w:right w:val="nil"/>
        </w:tcBorders>
        <w:shd w:val="clear" w:color="FFFFFF" w:themeColor="light1" w:fill="FFFFFF" w:themeFill="light1"/>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tcBorders>
          <w:top w:val="single" w:color="FAC090" w:themeColor="accent6" w:themeTint="98" w:sz="4" w:space="0"/>
          <w:left w:val="nil"/>
          <w:bottom w:val="nil"/>
          <w:right w:val="nil"/>
        </w:tcBorders>
        <w:shd w:val="clear" w:color="FFFFFF" w:themeColor="light1" w:fill="FFFFFF" w:themeFill="light1"/>
      </w:tcPr>
    </w:tblStylePr>
    <w:tblStylePr w:type="firstCol">
      <w:pPr>
        <w:jc w:val="right"/>
      </w:pPr>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nil"/>
          <w:right w:val="single" w:color="FAC090" w:themeColor="accent6" w:themeTint="98" w:sz="4" w:space="0"/>
        </w:tcBorders>
        <w:shd w:val="clear" w:color="FFFFFF" w:fill="auto"/>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single" w:color="FAC090" w:themeColor="accent6" w:themeTint="98" w:sz="4" w:space="0"/>
          <w:bottom w:val="nil"/>
          <w:right w:val="nil"/>
        </w:tcBorders>
        <w:shd w:val="clear" w:color="FFFFFF" w:fill="auto"/>
      </w:tc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62">
    <w:name w:val="Lined - Accent"/>
    <w:autoRedefine/>
    <w:qFormat/>
    <w:uiPriority w:val="99"/>
    <w:pPr>
      <w:spacing w:after="0" w:line="240" w:lineRule="auto"/>
    </w:pPr>
    <w:rPr>
      <w:color w:val="404040"/>
    </w:r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63">
    <w:name w:val="Lined - Accent 1"/>
    <w:autoRedefine/>
    <w:qFormat/>
    <w:uiPriority w:val="99"/>
    <w:pPr>
      <w:spacing w:after="0" w:line="240" w:lineRule="auto"/>
    </w:pPr>
    <w:rPr>
      <w:color w:val="404040"/>
    </w:r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64">
    <w:name w:val="Lined - Accent 2"/>
    <w:autoRedefine/>
    <w:qFormat/>
    <w:uiPriority w:val="99"/>
    <w:pPr>
      <w:spacing w:after="0" w:line="240" w:lineRule="auto"/>
    </w:pPr>
    <w:rPr>
      <w:color w:val="404040"/>
    </w:r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65">
    <w:name w:val="Lined - Accent 3"/>
    <w:autoRedefine/>
    <w:qFormat/>
    <w:uiPriority w:val="99"/>
    <w:pPr>
      <w:spacing w:after="0" w:line="240" w:lineRule="auto"/>
    </w:pPr>
    <w:rPr>
      <w:color w:val="404040"/>
    </w:r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66">
    <w:name w:val="Lined - Accent 4"/>
    <w:qFormat/>
    <w:uiPriority w:val="99"/>
    <w:pPr>
      <w:spacing w:after="0" w:line="240" w:lineRule="auto"/>
    </w:pPr>
    <w:rPr>
      <w:color w:val="404040"/>
    </w:r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67">
    <w:name w:val="Lined - Accent 5"/>
    <w:autoRedefine/>
    <w:qFormat/>
    <w:uiPriority w:val="99"/>
    <w:pPr>
      <w:spacing w:after="0" w:line="240" w:lineRule="auto"/>
    </w:pPr>
    <w:rPr>
      <w:color w:val="404040"/>
    </w:r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68">
    <w:name w:val="Lined - Accent 6"/>
    <w:autoRedefine/>
    <w:qFormat/>
    <w:uiPriority w:val="99"/>
    <w:pPr>
      <w:spacing w:after="0" w:line="240" w:lineRule="auto"/>
    </w:pPr>
    <w:rPr>
      <w:color w:val="404040"/>
    </w:r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69">
    <w:name w:val="Bordered &amp; Lined - Accent"/>
    <w:autoRedefine/>
    <w:qFormat/>
    <w:uiPriority w:val="99"/>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70">
    <w:name w:val="Bordered &amp; Lined - Accent 1"/>
    <w:autoRedefine/>
    <w:qFormat/>
    <w:uiPriority w:val="99"/>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71">
    <w:name w:val="Bordered &amp; Lined - Accent 2"/>
    <w:autoRedefine/>
    <w:qFormat/>
    <w:uiPriority w:val="99"/>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72">
    <w:name w:val="Bordered &amp; Lined - Accent 3"/>
    <w:autoRedefine/>
    <w:qFormat/>
    <w:uiPriority w:val="99"/>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73">
    <w:name w:val="Bordered &amp; Lined - Accent 4"/>
    <w:autoRedefine/>
    <w:qFormat/>
    <w:uiPriority w:val="99"/>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74">
    <w:name w:val="Bordered &amp; Lined - Accent 5"/>
    <w:autoRedefine/>
    <w:qFormat/>
    <w:uiPriority w:val="99"/>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75">
    <w:name w:val="Bordered &amp; Lined - Accent 6"/>
    <w:autoRedefine/>
    <w:qFormat/>
    <w:uiPriority w:val="99"/>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76">
    <w:name w:val="Bordered"/>
    <w:autoRedefine/>
    <w:qFormat/>
    <w:uiPriority w:val="99"/>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firstRow">
      <w:rPr>
        <w:rFonts w:ascii="Arial" w:hAnsi="Arial"/>
        <w:color w:val="404040"/>
        <w:sz w:val="22"/>
      </w:rPr>
      <w:tcPr>
        <w:tcBorders>
          <w:bottom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themeColor="text1" w:themeTint="80" w:sz="12" w:space="0"/>
        </w:tcBorders>
      </w:tcPr>
    </w:tblStyle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style>
  <w:style w:type="table" w:customStyle="1" w:styleId="177">
    <w:name w:val="Bordered - Accent 1"/>
    <w:autoRedefine/>
    <w:qFormat/>
    <w:uiPriority w:val="99"/>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firstRow">
      <w:rPr>
        <w:rFonts w:ascii="Arial" w:hAnsi="Arial"/>
        <w:color w:val="404040"/>
        <w:sz w:val="22"/>
      </w:rPr>
      <w:tcPr>
        <w:tcBorders>
          <w:bottom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4F81BD" w:themeColor="accent1" w:sz="12" w:space="0"/>
        </w:tcBorders>
      </w:tc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178">
    <w:name w:val="Bordered - Accent 2"/>
    <w:autoRedefine/>
    <w:qFormat/>
    <w:uiPriority w:val="99"/>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firstRow">
      <w:rPr>
        <w:rFonts w:ascii="Arial" w:hAnsi="Arial"/>
        <w:color w:val="404040"/>
        <w:sz w:val="22"/>
      </w:rPr>
      <w:tcPr>
        <w:tcBorders>
          <w:bottom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D99795" w:themeColor="accent2" w:themeTint="97" w:sz="12" w:space="0"/>
        </w:tcBorders>
      </w:tc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179">
    <w:name w:val="Bordered - Accent 3"/>
    <w:autoRedefine/>
    <w:qFormat/>
    <w:uiPriority w:val="99"/>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firstRow">
      <w:rPr>
        <w:rFonts w:ascii="Arial" w:hAnsi="Arial"/>
        <w:color w:val="404040"/>
        <w:sz w:val="22"/>
      </w:rPr>
      <w:tcPr>
        <w:tcBorders>
          <w:bottom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C3D69C" w:themeColor="accent3" w:themeTint="98" w:sz="12" w:space="0"/>
        </w:tcBorders>
      </w:tc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180">
    <w:name w:val="Bordered - Accent 4"/>
    <w:autoRedefine/>
    <w:qFormat/>
    <w:uiPriority w:val="99"/>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firstRow">
      <w:rPr>
        <w:rFonts w:ascii="Arial" w:hAnsi="Arial"/>
        <w:color w:val="404040"/>
        <w:sz w:val="22"/>
      </w:rPr>
      <w:tcPr>
        <w:tcBorders>
          <w:bottom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B2A1C6" w:themeColor="accent4" w:themeTint="9A" w:sz="12" w:space="0"/>
        </w:tcBorders>
      </w:tc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181">
    <w:name w:val="Bordered - Accent 5"/>
    <w:autoRedefine/>
    <w:qFormat/>
    <w:uiPriority w:val="99"/>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firstRow">
      <w:rPr>
        <w:rFonts w:ascii="Arial" w:hAnsi="Arial"/>
        <w:color w:val="404040"/>
        <w:sz w:val="22"/>
      </w:rPr>
      <w:tcPr>
        <w:tcBorders>
          <w:bottom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92CCDC" w:themeColor="accent5" w:themeTint="9A" w:sz="12" w:space="0"/>
        </w:tcBorders>
      </w:tc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182">
    <w:name w:val="Bordered - Accent 6"/>
    <w:autoRedefine/>
    <w:qFormat/>
    <w:uiPriority w:val="99"/>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firstRow">
      <w:rPr>
        <w:rFonts w:ascii="Arial" w:hAnsi="Arial"/>
        <w:color w:val="404040"/>
        <w:sz w:val="22"/>
      </w:rPr>
      <w:tcPr>
        <w:tcBorders>
          <w:bottom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AC090" w:themeColor="accent6" w:themeTint="98" w:sz="12" w:space="0"/>
        </w:tcBorders>
      </w:tc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character" w:customStyle="1" w:styleId="183">
    <w:name w:val="Footnote Text Char"/>
    <w:link w:val="24"/>
    <w:autoRedefine/>
    <w:qFormat/>
    <w:uiPriority w:val="99"/>
    <w:rPr>
      <w:sz w:val="18"/>
    </w:rPr>
  </w:style>
  <w:style w:type="character" w:customStyle="1" w:styleId="184">
    <w:name w:val="Endnote Text Char"/>
    <w:link w:val="18"/>
    <w:autoRedefine/>
    <w:qFormat/>
    <w:uiPriority w:val="99"/>
    <w:rPr>
      <w:sz w:val="20"/>
    </w:rPr>
  </w:style>
  <w:style w:type="paragraph" w:customStyle="1" w:styleId="185">
    <w:name w:val="TOC Heading"/>
    <w:autoRedefine/>
    <w:unhideWhenUsed/>
    <w:qFormat/>
    <w:uiPriority w:val="39"/>
    <w:rPr>
      <w:rFonts w:hint="default" w:ascii="Times New Roman" w:hAnsi="Times New Roman" w:eastAsia="宋体" w:cs="Times New Roman"/>
    </w:rPr>
  </w:style>
  <w:style w:type="paragraph" w:customStyle="1" w:styleId="186">
    <w:name w:val="标题 11"/>
    <w:basedOn w:val="1"/>
    <w:next w:val="1"/>
    <w:link w:val="196"/>
    <w:qFormat/>
    <w:uiPriority w:val="0"/>
    <w:pPr>
      <w:keepNext/>
      <w:keepLines/>
      <w:spacing w:before="340" w:after="330" w:line="578" w:lineRule="auto"/>
      <w:outlineLvl w:val="0"/>
    </w:pPr>
    <w:rPr>
      <w:rFonts w:eastAsia="黑体"/>
      <w:b/>
      <w:bCs/>
      <w:sz w:val="36"/>
      <w:szCs w:val="44"/>
    </w:rPr>
  </w:style>
  <w:style w:type="paragraph" w:customStyle="1" w:styleId="187">
    <w:name w:val="标题 21"/>
    <w:basedOn w:val="1"/>
    <w:next w:val="1"/>
    <w:link w:val="197"/>
    <w:autoRedefine/>
    <w:qFormat/>
    <w:uiPriority w:val="0"/>
    <w:pPr>
      <w:keepNext/>
      <w:keepLines/>
      <w:spacing w:before="260" w:after="260" w:line="416" w:lineRule="auto"/>
      <w:outlineLvl w:val="1"/>
    </w:pPr>
    <w:rPr>
      <w:rFonts w:ascii="Cambria" w:hAnsi="Cambria"/>
      <w:b/>
      <w:bCs/>
      <w:sz w:val="32"/>
      <w:szCs w:val="32"/>
    </w:rPr>
  </w:style>
  <w:style w:type="paragraph" w:customStyle="1" w:styleId="188">
    <w:name w:val="标题 31"/>
    <w:basedOn w:val="1"/>
    <w:next w:val="189"/>
    <w:link w:val="198"/>
    <w:autoRedefine/>
    <w:qFormat/>
    <w:uiPriority w:val="0"/>
    <w:pPr>
      <w:keepNext/>
      <w:keepLines/>
      <w:spacing w:before="260" w:after="260" w:line="416" w:lineRule="auto"/>
      <w:outlineLvl w:val="2"/>
    </w:pPr>
    <w:rPr>
      <w:b/>
      <w:bCs/>
      <w:sz w:val="32"/>
      <w:szCs w:val="32"/>
    </w:rPr>
  </w:style>
  <w:style w:type="paragraph" w:customStyle="1" w:styleId="189">
    <w:name w:val="正文缩进1"/>
    <w:basedOn w:val="1"/>
    <w:link w:val="199"/>
    <w:autoRedefine/>
    <w:qFormat/>
    <w:uiPriority w:val="0"/>
    <w:pPr>
      <w:ind w:firstLine="420"/>
    </w:pPr>
    <w:rPr>
      <w:szCs w:val="21"/>
    </w:rPr>
  </w:style>
  <w:style w:type="paragraph" w:customStyle="1" w:styleId="190">
    <w:name w:val="标题 41"/>
    <w:basedOn w:val="1"/>
    <w:next w:val="1"/>
    <w:link w:val="200"/>
    <w:autoRedefine/>
    <w:qFormat/>
    <w:uiPriority w:val="0"/>
    <w:pPr>
      <w:keepNext/>
      <w:keepLines/>
      <w:spacing w:before="280" w:after="290" w:line="376" w:lineRule="auto"/>
      <w:outlineLvl w:val="3"/>
    </w:pPr>
    <w:rPr>
      <w:rFonts w:ascii="Cambria" w:hAnsi="Cambria" w:eastAsia="宋体" w:cs="Times New Roman"/>
      <w:b/>
      <w:bCs/>
      <w:sz w:val="28"/>
      <w:szCs w:val="28"/>
    </w:rPr>
  </w:style>
  <w:style w:type="character" w:customStyle="1" w:styleId="191">
    <w:name w:val="默认段落字体1"/>
    <w:link w:val="1"/>
    <w:autoRedefine/>
    <w:semiHidden/>
    <w:qFormat/>
    <w:uiPriority w:val="0"/>
  </w:style>
  <w:style w:type="table" w:customStyle="1" w:styleId="192">
    <w:name w:val="普通表格1"/>
    <w:autoRedefine/>
    <w:semiHidden/>
    <w:qFormat/>
    <w:uiPriority w:val="0"/>
  </w:style>
  <w:style w:type="paragraph" w:customStyle="1" w:styleId="193">
    <w:name w:val="正文首行缩进 212"/>
    <w:basedOn w:val="194"/>
    <w:next w:val="1"/>
    <w:autoRedefine/>
    <w:unhideWhenUsed/>
    <w:qFormat/>
    <w:uiPriority w:val="0"/>
    <w:pPr>
      <w:spacing w:line="360" w:lineRule="auto"/>
      <w:ind w:firstLine="420"/>
    </w:pPr>
    <w:rPr>
      <w:sz w:val="24"/>
      <w:szCs w:val="22"/>
      <w:lang w:val="zh-CN"/>
    </w:rPr>
  </w:style>
  <w:style w:type="paragraph" w:customStyle="1" w:styleId="194">
    <w:name w:val="正文文本缩进12"/>
    <w:basedOn w:val="1"/>
    <w:next w:val="195"/>
    <w:autoRedefine/>
    <w:unhideWhenUsed/>
    <w:qFormat/>
    <w:uiPriority w:val="99"/>
    <w:pPr>
      <w:spacing w:after="120"/>
      <w:ind w:left="420"/>
    </w:pPr>
  </w:style>
  <w:style w:type="paragraph" w:customStyle="1" w:styleId="195">
    <w:name w:val="寄信人地址1"/>
    <w:basedOn w:val="1"/>
    <w:autoRedefine/>
    <w:qFormat/>
    <w:uiPriority w:val="0"/>
    <w:rPr>
      <w:rFonts w:ascii="Arial" w:hAnsi="Arial"/>
    </w:rPr>
  </w:style>
  <w:style w:type="character" w:customStyle="1" w:styleId="196">
    <w:name w:val="标题 1 Char"/>
    <w:link w:val="186"/>
    <w:autoRedefine/>
    <w:qFormat/>
    <w:uiPriority w:val="0"/>
    <w:rPr>
      <w:rFonts w:eastAsia="黑体"/>
      <w:b/>
      <w:bCs/>
      <w:sz w:val="36"/>
      <w:szCs w:val="44"/>
      <w:lang w:val="en-US" w:eastAsia="zh-CN" w:bidi="ar-SA"/>
    </w:rPr>
  </w:style>
  <w:style w:type="character" w:customStyle="1" w:styleId="197">
    <w:name w:val="标题 2 Char"/>
    <w:link w:val="187"/>
    <w:autoRedefine/>
    <w:semiHidden/>
    <w:qFormat/>
    <w:uiPriority w:val="0"/>
    <w:rPr>
      <w:rFonts w:ascii="Cambria" w:hAnsi="Cambria" w:eastAsia="宋体" w:cs="Times New Roman"/>
      <w:b/>
      <w:bCs/>
      <w:sz w:val="32"/>
      <w:szCs w:val="32"/>
    </w:rPr>
  </w:style>
  <w:style w:type="character" w:customStyle="1" w:styleId="198">
    <w:name w:val="标题 3 Char"/>
    <w:link w:val="188"/>
    <w:autoRedefine/>
    <w:qFormat/>
    <w:uiPriority w:val="0"/>
    <w:rPr>
      <w:b/>
      <w:bCs/>
      <w:sz w:val="32"/>
      <w:szCs w:val="32"/>
    </w:rPr>
  </w:style>
  <w:style w:type="character" w:customStyle="1" w:styleId="199">
    <w:name w:val="正文缩进 Char"/>
    <w:link w:val="189"/>
    <w:autoRedefine/>
    <w:qFormat/>
    <w:uiPriority w:val="0"/>
    <w:rPr>
      <w:sz w:val="21"/>
      <w:szCs w:val="21"/>
    </w:rPr>
  </w:style>
  <w:style w:type="character" w:customStyle="1" w:styleId="200">
    <w:name w:val="标题 4 Char"/>
    <w:link w:val="190"/>
    <w:autoRedefine/>
    <w:qFormat/>
    <w:uiPriority w:val="0"/>
    <w:rPr>
      <w:rFonts w:ascii="Cambria" w:hAnsi="Cambria" w:eastAsia="宋体" w:cs="Times New Roman"/>
      <w:b/>
      <w:bCs/>
      <w:sz w:val="28"/>
      <w:szCs w:val="28"/>
    </w:rPr>
  </w:style>
  <w:style w:type="paragraph" w:customStyle="1" w:styleId="201">
    <w:name w:val="批注文字1"/>
    <w:basedOn w:val="1"/>
    <w:autoRedefine/>
    <w:qFormat/>
    <w:uiPriority w:val="0"/>
    <w:pPr>
      <w:jc w:val="left"/>
    </w:pPr>
  </w:style>
  <w:style w:type="paragraph" w:customStyle="1" w:styleId="202">
    <w:name w:val="正文文本1"/>
    <w:basedOn w:val="1"/>
    <w:next w:val="1"/>
    <w:autoRedefine/>
    <w:unhideWhenUsed/>
    <w:qFormat/>
    <w:uiPriority w:val="0"/>
    <w:pPr>
      <w:spacing w:after="120"/>
    </w:pPr>
    <w:rPr>
      <w:rFonts w:ascii="Calibri" w:hAnsi="Calibri"/>
      <w:szCs w:val="22"/>
    </w:rPr>
  </w:style>
  <w:style w:type="paragraph" w:customStyle="1" w:styleId="203">
    <w:name w:val="文本块1"/>
    <w:basedOn w:val="1"/>
    <w:autoRedefine/>
    <w:qFormat/>
    <w:uiPriority w:val="0"/>
    <w:pPr>
      <w:ind w:left="-216" w:right="2" w:hanging="2"/>
      <w:jc w:val="center"/>
    </w:pPr>
    <w:rPr>
      <w:rFonts w:ascii="楷体_GB2312" w:eastAsia="楷体_GB2312"/>
      <w:sz w:val="24"/>
      <w:szCs w:val="24"/>
    </w:rPr>
  </w:style>
  <w:style w:type="paragraph" w:customStyle="1" w:styleId="204">
    <w:name w:val="纯文本1"/>
    <w:basedOn w:val="1"/>
    <w:link w:val="205"/>
    <w:autoRedefine/>
    <w:qFormat/>
    <w:uiPriority w:val="0"/>
    <w:rPr>
      <w:rFonts w:ascii="宋体" w:hAnsi="Courier New"/>
      <w:szCs w:val="20"/>
    </w:rPr>
  </w:style>
  <w:style w:type="character" w:customStyle="1" w:styleId="205">
    <w:name w:val="纯文本 Char"/>
    <w:link w:val="204"/>
    <w:qFormat/>
    <w:uiPriority w:val="0"/>
    <w:rPr>
      <w:rFonts w:ascii="宋体" w:hAnsi="Courier New" w:eastAsia="宋体"/>
      <w:sz w:val="21"/>
      <w:lang w:val="en-US" w:eastAsia="zh-CN" w:bidi="ar-SA"/>
    </w:rPr>
  </w:style>
  <w:style w:type="paragraph" w:customStyle="1" w:styleId="206">
    <w:name w:val="日期1"/>
    <w:basedOn w:val="1"/>
    <w:next w:val="1"/>
    <w:autoRedefine/>
    <w:qFormat/>
    <w:uiPriority w:val="0"/>
    <w:rPr>
      <w:rFonts w:ascii="宋体" w:eastAsia="黑体"/>
      <w:spacing w:val="10"/>
      <w:position w:val="2"/>
      <w:sz w:val="30"/>
    </w:rPr>
  </w:style>
  <w:style w:type="paragraph" w:customStyle="1" w:styleId="207">
    <w:name w:val="批注框文本1"/>
    <w:basedOn w:val="1"/>
    <w:autoRedefine/>
    <w:semiHidden/>
    <w:qFormat/>
    <w:uiPriority w:val="0"/>
    <w:rPr>
      <w:sz w:val="18"/>
      <w:szCs w:val="18"/>
    </w:rPr>
  </w:style>
  <w:style w:type="paragraph" w:customStyle="1" w:styleId="208">
    <w:name w:val="页脚11"/>
    <w:basedOn w:val="1"/>
    <w:link w:val="209"/>
    <w:autoRedefine/>
    <w:qFormat/>
    <w:uiPriority w:val="99"/>
    <w:pPr>
      <w:tabs>
        <w:tab w:val="center" w:pos="4153"/>
        <w:tab w:val="right" w:pos="8306"/>
      </w:tabs>
      <w:jc w:val="left"/>
    </w:pPr>
    <w:rPr>
      <w:sz w:val="18"/>
      <w:szCs w:val="20"/>
    </w:rPr>
  </w:style>
  <w:style w:type="character" w:customStyle="1" w:styleId="209">
    <w:name w:val="页脚 Char"/>
    <w:link w:val="208"/>
    <w:autoRedefine/>
    <w:qFormat/>
    <w:uiPriority w:val="99"/>
    <w:rPr>
      <w:sz w:val="18"/>
    </w:rPr>
  </w:style>
  <w:style w:type="paragraph" w:customStyle="1" w:styleId="210">
    <w:name w:val="页眉1"/>
    <w:basedOn w:val="1"/>
    <w:link w:val="211"/>
    <w:autoRedefine/>
    <w:qFormat/>
    <w:uiPriority w:val="0"/>
    <w:pPr>
      <w:pBdr>
        <w:bottom w:val="single" w:color="000000" w:sz="6" w:space="1"/>
      </w:pBdr>
      <w:tabs>
        <w:tab w:val="center" w:pos="4153"/>
        <w:tab w:val="right" w:pos="8306"/>
      </w:tabs>
      <w:jc w:val="center"/>
    </w:pPr>
    <w:rPr>
      <w:sz w:val="18"/>
      <w:szCs w:val="18"/>
    </w:rPr>
  </w:style>
  <w:style w:type="character" w:customStyle="1" w:styleId="211">
    <w:name w:val="页眉 Char"/>
    <w:link w:val="210"/>
    <w:autoRedefine/>
    <w:qFormat/>
    <w:uiPriority w:val="0"/>
    <w:rPr>
      <w:sz w:val="18"/>
      <w:szCs w:val="18"/>
    </w:rPr>
  </w:style>
  <w:style w:type="paragraph" w:customStyle="1" w:styleId="212">
    <w:name w:val="普通(网站)1"/>
    <w:basedOn w:val="1"/>
    <w:autoRedefine/>
    <w:qFormat/>
    <w:uiPriority w:val="0"/>
    <w:pPr>
      <w:widowControl/>
      <w:spacing w:before="100" w:beforeAutospacing="1" w:after="100" w:afterAutospacing="1"/>
      <w:jc w:val="left"/>
    </w:pPr>
    <w:rPr>
      <w:rFonts w:ascii="宋体" w:hAnsi="宋体" w:cs="宋体"/>
      <w:sz w:val="24"/>
    </w:rPr>
  </w:style>
  <w:style w:type="table" w:customStyle="1" w:styleId="213">
    <w:name w:val="网格型1"/>
    <w:basedOn w:val="192"/>
    <w:autoRedefine/>
    <w:qFormat/>
    <w:uiPriority w:val="0"/>
    <w:pPr>
      <w:widowControl w:val="0"/>
      <w:jc w:val="both"/>
    </w:pPr>
  </w:style>
  <w:style w:type="character" w:customStyle="1" w:styleId="214">
    <w:name w:val="要点1"/>
    <w:link w:val="1"/>
    <w:autoRedefine/>
    <w:qFormat/>
    <w:uiPriority w:val="0"/>
    <w:rPr>
      <w:b/>
      <w:bCs/>
    </w:rPr>
  </w:style>
  <w:style w:type="character" w:customStyle="1" w:styleId="215">
    <w:name w:val="页码1"/>
    <w:link w:val="1"/>
    <w:autoRedefine/>
    <w:qFormat/>
    <w:uiPriority w:val="0"/>
  </w:style>
  <w:style w:type="character" w:customStyle="1" w:styleId="216">
    <w:name w:val="超链接1"/>
    <w:link w:val="1"/>
    <w:autoRedefine/>
    <w:qFormat/>
    <w:uiPriority w:val="0"/>
    <w:rPr>
      <w:color w:val="0000FF"/>
      <w:u w:val="single"/>
    </w:rPr>
  </w:style>
  <w:style w:type="paragraph" w:customStyle="1" w:styleId="217">
    <w:name w:val="正文首行缩进 211"/>
    <w:basedOn w:val="218"/>
    <w:next w:val="220"/>
    <w:autoRedefine/>
    <w:qFormat/>
    <w:uiPriority w:val="0"/>
    <w:pPr>
      <w:tabs>
        <w:tab w:val="left" w:pos="180"/>
      </w:tabs>
      <w:ind w:left="420" w:firstLine="420"/>
    </w:pPr>
    <w:rPr>
      <w:rFonts w:ascii="Times New Roman" w:hAnsi="Times New Roman"/>
    </w:rPr>
  </w:style>
  <w:style w:type="paragraph" w:customStyle="1" w:styleId="218">
    <w:name w:val="正文文本缩进11"/>
    <w:basedOn w:val="1"/>
    <w:next w:val="219"/>
    <w:autoRedefine/>
    <w:qFormat/>
    <w:uiPriority w:val="0"/>
    <w:pPr>
      <w:tabs>
        <w:tab w:val="left" w:pos="180"/>
      </w:tabs>
      <w:ind w:firstLine="480"/>
    </w:pPr>
    <w:rPr>
      <w:rFonts w:ascii="Tahoma" w:hAnsi="Tahoma"/>
      <w:sz w:val="24"/>
    </w:rPr>
  </w:style>
  <w:style w:type="paragraph" w:customStyle="1" w:styleId="219">
    <w:name w:val="寄信人地址11"/>
    <w:basedOn w:val="1"/>
    <w:autoRedefine/>
    <w:qFormat/>
    <w:uiPriority w:val="0"/>
    <w:rPr>
      <w:rFonts w:ascii="Arial" w:hAnsi="Arial"/>
    </w:rPr>
  </w:style>
  <w:style w:type="paragraph" w:customStyle="1" w:styleId="220">
    <w:name w:val="正文缩进11"/>
    <w:basedOn w:val="1"/>
    <w:autoRedefine/>
    <w:qFormat/>
    <w:uiPriority w:val="0"/>
    <w:pPr>
      <w:ind w:firstLine="420"/>
    </w:pPr>
  </w:style>
  <w:style w:type="paragraph" w:customStyle="1" w:styleId="221">
    <w:name w:val="Default"/>
    <w:basedOn w:val="1"/>
    <w:autoRedefine/>
    <w:semiHidden/>
    <w:qFormat/>
    <w:uiPriority w:val="0"/>
    <w:pPr>
      <w:jc w:val="left"/>
    </w:pPr>
    <w:rPr>
      <w:rFonts w:ascii="宋体" w:hAnsi="Calibri" w:cs="宋体"/>
      <w:color w:val="000000"/>
      <w:sz w:val="24"/>
    </w:rPr>
  </w:style>
  <w:style w:type="paragraph" w:customStyle="1" w:styleId="222">
    <w:name w:val="p0"/>
    <w:basedOn w:val="1"/>
    <w:autoRedefine/>
    <w:qFormat/>
    <w:uiPriority w:val="0"/>
    <w:pPr>
      <w:widowControl/>
      <w:spacing w:before="100" w:beforeAutospacing="1" w:after="100" w:afterAutospacing="1"/>
      <w:jc w:val="left"/>
    </w:pPr>
    <w:rPr>
      <w:rFonts w:ascii="宋体" w:hAnsi="宋体" w:cs="宋体"/>
      <w:sz w:val="24"/>
    </w:rPr>
  </w:style>
  <w:style w:type="paragraph" w:customStyle="1" w:styleId="223">
    <w:name w:val="普通正文"/>
    <w:basedOn w:val="1"/>
    <w:qFormat/>
    <w:uiPriority w:val="0"/>
    <w:pPr>
      <w:spacing w:before="120" w:after="120" w:line="360" w:lineRule="auto"/>
      <w:ind w:firstLine="480"/>
      <w:jc w:val="left"/>
    </w:pPr>
    <w:rPr>
      <w:rFonts w:ascii="Arial" w:hAnsi="Arial"/>
      <w:sz w:val="24"/>
    </w:rPr>
  </w:style>
  <w:style w:type="paragraph" w:customStyle="1" w:styleId="224">
    <w:name w:val="Char"/>
    <w:basedOn w:val="1"/>
    <w:autoRedefine/>
    <w:qFormat/>
    <w:uiPriority w:val="0"/>
    <w:pPr>
      <w:tabs>
        <w:tab w:val="left" w:pos="360"/>
      </w:tabs>
      <w:ind w:firstLine="200"/>
    </w:pPr>
    <w:rPr>
      <w:sz w:val="28"/>
      <w:szCs w:val="30"/>
    </w:rPr>
  </w:style>
  <w:style w:type="paragraph" w:customStyle="1" w:styleId="225">
    <w:name w:val=" Char Char Char Char Char Char Char Char Char Char"/>
    <w:basedOn w:val="1"/>
    <w:autoRedefine/>
    <w:qFormat/>
    <w:uiPriority w:val="0"/>
    <w:pPr>
      <w:widowControl/>
      <w:spacing w:after="160" w:line="240" w:lineRule="exact"/>
      <w:jc w:val="left"/>
    </w:pPr>
    <w:rPr>
      <w:rFonts w:ascii="Verdana" w:hAnsi="Verdana" w:eastAsia="仿宋_GB2312"/>
      <w:sz w:val="24"/>
      <w:szCs w:val="20"/>
      <w:lang w:eastAsia="en-US"/>
    </w:rPr>
  </w:style>
  <w:style w:type="paragraph" w:customStyle="1" w:styleId="226">
    <w:name w:val="AONormal"/>
    <w:autoRedefine/>
    <w:qFormat/>
    <w:uiPriority w:val="0"/>
    <w:pPr>
      <w:spacing w:line="400" w:lineRule="exact"/>
      <w:ind w:firstLine="440"/>
    </w:pPr>
    <w:rPr>
      <w:rFonts w:hint="default" w:ascii="华文楷体" w:hAnsi="华文楷体" w:eastAsia="华文楷体" w:cs="华文楷体"/>
      <w:sz w:val="22"/>
      <w:szCs w:val="21"/>
      <w:lang w:val="en-US" w:eastAsia="zh-CN" w:bidi="ar-SA"/>
    </w:rPr>
  </w:style>
  <w:style w:type="paragraph" w:customStyle="1" w:styleId="227">
    <w:name w:val="页脚1"/>
    <w:basedOn w:val="1"/>
    <w:autoRedefine/>
    <w:unhideWhenUsed/>
    <w:qFormat/>
    <w:uiPriority w:val="99"/>
    <w:pPr>
      <w:tabs>
        <w:tab w:val="center" w:pos="4153"/>
        <w:tab w:val="right" w:pos="8306"/>
      </w:tabs>
      <w:jc w:val="left"/>
    </w:pPr>
    <w:rPr>
      <w:sz w:val="18"/>
      <w:szCs w:val="18"/>
    </w:rPr>
  </w:style>
  <w:style w:type="paragraph" w:customStyle="1" w:styleId="228">
    <w:name w:val="正文首行缩进 21"/>
    <w:basedOn w:val="229"/>
    <w:autoRedefine/>
    <w:qFormat/>
    <w:uiPriority w:val="0"/>
    <w:pPr>
      <w:ind w:firstLine="420"/>
    </w:pPr>
  </w:style>
  <w:style w:type="paragraph" w:customStyle="1" w:styleId="229">
    <w:name w:val="正文文本缩进1"/>
    <w:basedOn w:val="1"/>
    <w:autoRedefine/>
    <w:qFormat/>
    <w:uiPriority w:val="0"/>
    <w:pPr>
      <w:spacing w:after="120"/>
      <w:ind w:left="420"/>
    </w:pPr>
  </w:style>
  <w:style w:type="paragraph" w:customStyle="1" w:styleId="230">
    <w:name w:val="正文格式"/>
    <w:autoRedefine/>
    <w:qFormat/>
    <w:uiPriority w:val="99"/>
    <w:pPr>
      <w:spacing w:line="360" w:lineRule="auto"/>
      <w:ind w:firstLine="200" w:firstLineChars="200"/>
    </w:pPr>
    <w:rPr>
      <w:rFonts w:ascii="宋体" w:hAnsi="宋体" w:eastAsia="宋体" w:cs="Times New Roman"/>
      <w:kern w:val="2"/>
      <w:sz w:val="28"/>
      <w:szCs w:val="22"/>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1.xml"/><Relationship Id="rId8" Type="http://schemas.openxmlformats.org/officeDocument/2006/relationships/theme" Target="theme/theme1.xml"/><Relationship Id="rId7" Type="http://schemas.openxmlformats.org/officeDocument/2006/relationships/footer" Target="footer4.xml"/><Relationship Id="rId6" Type="http://schemas.openxmlformats.org/officeDocument/2006/relationships/footer" Target="footer3.xml"/><Relationship Id="rId5" Type="http://schemas.openxmlformats.org/officeDocument/2006/relationships/footer" Target="footer2.xml"/><Relationship Id="rId4" Type="http://schemas.openxmlformats.org/officeDocument/2006/relationships/header" Target="header1.xml"/><Relationship Id="rId3" Type="http://schemas.openxmlformats.org/officeDocument/2006/relationships/footer" Target="footer1.xml"/><Relationship Id="rId2" Type="http://schemas.openxmlformats.org/officeDocument/2006/relationships/settings" Target="settings.xml"/><Relationship Id="rId11" Type="http://schemas.openxmlformats.org/officeDocument/2006/relationships/fontTable" Target="fontTable.xml"/><Relationship Id="rId10" Type="http://schemas.openxmlformats.org/officeDocument/2006/relationships/numbering" Target="numbering.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Company>微软</Company>
  <Pages>69</Pages>
  <Words>20581</Words>
  <Characters>21722</Characters>
  <TotalTime>23</TotalTime>
  <ScaleCrop>false</ScaleCrop>
  <LinksUpToDate>false</LinksUpToDate>
  <CharactersWithSpaces>22547</CharactersWithSpaces>
  <Application>WPS Office_12.1.0.24034_F1E327BC-269C-435d-A152-05C5408002CA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2021-05-17T15:37:00Z</dcterms:created>
  <dc:creator>WPS_168</dc:creator>
  <cp:lastModifiedBy>莹莹家</cp:lastModifiedBy>
  <dcterms:modified xsi:type="dcterms:W3CDTF">2025-12-23T02:25:56Z</dcterms:modified>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eyJoZGlkIjoiN2VmMDE4Y2U0ZjFhM2FjZTY3MTRmZDhiODlkMTViN2UiLCJ1c2VySWQiOiI0MDY1MDk3NjkifQ==</vt:lpwstr>
  </property>
  <property fmtid="{D5CDD505-2E9C-101B-9397-08002B2CF9AE}" pid="3" name="KSOProductBuildVer">
    <vt:lpwstr>2052-12.1.0.24034</vt:lpwstr>
  </property>
  <property fmtid="{D5CDD505-2E9C-101B-9397-08002B2CF9AE}" pid="4" name="ICV">
    <vt:lpwstr>C2FF15FD0B9C4ED4ACE37B04C84A9204_13</vt:lpwstr>
  </property>
</Properties>
</file>